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91" w:rsidRPr="00691291" w:rsidRDefault="00691291" w:rsidP="004D4604">
      <w:pPr>
        <w:spacing w:before="220" w:after="220" w:line="24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                                          </w:t>
      </w: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ab/>
        <w:t>            ПРОТОКОЛ №2</w:t>
      </w:r>
    </w:p>
    <w:p w:rsidR="00691291" w:rsidRPr="00691291" w:rsidRDefault="00691291" w:rsidP="0069129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засідання Інвестиційної ради</w:t>
      </w:r>
    </w:p>
    <w:p w:rsidR="00691291" w:rsidRPr="00691291" w:rsidRDefault="00691291" w:rsidP="00691291">
      <w:pPr>
        <w:spacing w:before="220" w:after="2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91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Новоодеськоі</w:t>
      </w:r>
      <w:proofErr w:type="spellEnd"/>
      <w:r w:rsidRPr="00691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91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міськоі</w:t>
      </w:r>
      <w:proofErr w:type="spellEnd"/>
      <w:r w:rsidRPr="00691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територіальної громади</w:t>
      </w:r>
    </w:p>
    <w:p w:rsidR="00973685" w:rsidRDefault="00691291" w:rsidP="004D4604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691291">
        <w:rPr>
          <w:b/>
          <w:bCs/>
          <w:lang w:eastAsia="uk-UA"/>
        </w:rPr>
        <w:br/>
      </w:r>
      <w:r w:rsidR="009E0DB7">
        <w:rPr>
          <w:b/>
          <w:bCs/>
          <w:lang w:eastAsia="uk-UA"/>
        </w:rPr>
        <w:t>07.05.</w:t>
      </w:r>
      <w:r w:rsidRPr="00691291">
        <w:rPr>
          <w:b/>
          <w:bCs/>
          <w:lang w:eastAsia="uk-UA"/>
        </w:rPr>
        <w:t>202</w:t>
      </w:r>
      <w:r w:rsidR="009E0DB7">
        <w:rPr>
          <w:b/>
          <w:bCs/>
          <w:lang w:eastAsia="uk-UA"/>
        </w:rPr>
        <w:t>6</w:t>
      </w:r>
      <w:r w:rsidRPr="00691291">
        <w:rPr>
          <w:b/>
          <w:bCs/>
          <w:lang w:eastAsia="uk-UA"/>
        </w:rPr>
        <w:t xml:space="preserve">         </w:t>
      </w:r>
      <w:r w:rsidRPr="00691291">
        <w:rPr>
          <w:lang w:eastAsia="uk-UA"/>
        </w:rPr>
        <w:t>          </w:t>
      </w:r>
      <w:r w:rsidRPr="00691291">
        <w:rPr>
          <w:lang w:eastAsia="uk-UA"/>
        </w:rPr>
        <w:br/>
        <w:t xml:space="preserve">                     </w:t>
      </w:r>
      <w:r w:rsidR="009E0DB7">
        <w:rPr>
          <w:lang w:eastAsia="uk-UA"/>
        </w:rPr>
        <w:t xml:space="preserve">                            </w:t>
      </w:r>
      <w:r w:rsidRPr="00691291">
        <w:rPr>
          <w:lang w:eastAsia="uk-UA"/>
        </w:rPr>
        <w:t xml:space="preserve">                                            </w:t>
      </w:r>
      <w:r w:rsidRPr="00691291">
        <w:rPr>
          <w:lang w:eastAsia="uk-UA"/>
        </w:rPr>
        <w:tab/>
      </w:r>
      <w:r w:rsidRPr="004D4604">
        <w:rPr>
          <w:rFonts w:ascii="Times New Roman" w:hAnsi="Times New Roman" w:cs="Times New Roman"/>
          <w:sz w:val="24"/>
          <w:szCs w:val="24"/>
          <w:lang w:eastAsia="uk-UA"/>
        </w:rPr>
        <w:t>       </w:t>
      </w:r>
    </w:p>
    <w:p w:rsidR="00691291" w:rsidRPr="004D4604" w:rsidRDefault="00691291" w:rsidP="004D4604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4D4604">
        <w:rPr>
          <w:rFonts w:ascii="Times New Roman" w:hAnsi="Times New Roman" w:cs="Times New Roman"/>
          <w:sz w:val="24"/>
          <w:szCs w:val="24"/>
          <w:lang w:eastAsia="uk-UA"/>
        </w:rPr>
        <w:t xml:space="preserve">   Час проведення: </w:t>
      </w:r>
      <w:r w:rsidR="009E0DB7" w:rsidRPr="004D4604">
        <w:rPr>
          <w:rFonts w:ascii="Times New Roman" w:hAnsi="Times New Roman" w:cs="Times New Roman"/>
          <w:sz w:val="24"/>
          <w:szCs w:val="24"/>
          <w:lang w:eastAsia="uk-UA"/>
        </w:rPr>
        <w:t>8.00</w:t>
      </w:r>
      <w:r w:rsidRPr="004D4604">
        <w:rPr>
          <w:rFonts w:ascii="Times New Roman" w:hAnsi="Times New Roman" w:cs="Times New Roman"/>
          <w:sz w:val="24"/>
          <w:szCs w:val="24"/>
          <w:lang w:eastAsia="uk-UA"/>
        </w:rPr>
        <w:t>год.</w:t>
      </w:r>
    </w:p>
    <w:p w:rsidR="00691291" w:rsidRPr="004D4604" w:rsidRDefault="00691291" w:rsidP="004D4604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4D4604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 Форма проведення: Засідання колегіального органу.</w:t>
      </w:r>
    </w:p>
    <w:p w:rsidR="00973685" w:rsidRDefault="00973685" w:rsidP="004D4604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691291" w:rsidRPr="004D4604" w:rsidRDefault="00691291" w:rsidP="004D4604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4D460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Голова ради:</w:t>
      </w:r>
      <w:r w:rsidRPr="004D460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D4604">
        <w:rPr>
          <w:rFonts w:ascii="Times New Roman" w:hAnsi="Times New Roman" w:cs="Times New Roman"/>
          <w:sz w:val="24"/>
          <w:szCs w:val="24"/>
          <w:lang w:eastAsia="uk-UA"/>
        </w:rPr>
        <w:t>Поляков</w:t>
      </w:r>
      <w:proofErr w:type="spellEnd"/>
      <w:r w:rsidRPr="004D4604">
        <w:rPr>
          <w:rFonts w:ascii="Times New Roman" w:hAnsi="Times New Roman" w:cs="Times New Roman"/>
          <w:sz w:val="24"/>
          <w:szCs w:val="24"/>
          <w:lang w:eastAsia="uk-UA"/>
        </w:rPr>
        <w:t>  Олександр Петрович -</w:t>
      </w:r>
      <w:r w:rsidR="004D4604" w:rsidRPr="004D4604">
        <w:rPr>
          <w:rFonts w:ascii="Times New Roman" w:hAnsi="Times New Roman" w:cs="Times New Roman"/>
          <w:sz w:val="24"/>
          <w:szCs w:val="24"/>
          <w:lang w:eastAsia="uk-UA"/>
        </w:rPr>
        <w:t xml:space="preserve">  </w:t>
      </w:r>
      <w:r w:rsidRPr="004D4604">
        <w:rPr>
          <w:rFonts w:ascii="Times New Roman" w:hAnsi="Times New Roman" w:cs="Times New Roman"/>
          <w:sz w:val="24"/>
          <w:szCs w:val="24"/>
          <w:lang w:eastAsia="uk-UA"/>
        </w:rPr>
        <w:t xml:space="preserve">Голова Інвестиційної </w:t>
      </w:r>
      <w:r w:rsidR="004D4604" w:rsidRPr="004D4604">
        <w:rPr>
          <w:rFonts w:ascii="Times New Roman" w:hAnsi="Times New Roman" w:cs="Times New Roman"/>
          <w:sz w:val="24"/>
          <w:szCs w:val="24"/>
          <w:lang w:eastAsia="uk-UA"/>
        </w:rPr>
        <w:t xml:space="preserve">ради, міський голова </w:t>
      </w:r>
      <w:r w:rsidRPr="004D4604">
        <w:rPr>
          <w:rFonts w:ascii="Times New Roman" w:hAnsi="Times New Roman" w:cs="Times New Roman"/>
          <w:sz w:val="24"/>
          <w:szCs w:val="24"/>
          <w:lang w:eastAsia="uk-UA"/>
        </w:rPr>
        <w:t xml:space="preserve">                                                                                                 </w:t>
      </w:r>
      <w:r w:rsidRPr="004D4604">
        <w:rPr>
          <w:rFonts w:ascii="Times New Roman" w:hAnsi="Times New Roman" w:cs="Times New Roman"/>
          <w:sz w:val="24"/>
          <w:szCs w:val="24"/>
          <w:lang w:eastAsia="uk-UA"/>
        </w:rPr>
        <w:tab/>
      </w:r>
    </w:p>
    <w:p w:rsidR="00691291" w:rsidRPr="004D4604" w:rsidRDefault="00691291" w:rsidP="004D4604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4D460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Секретар ради:</w:t>
      </w:r>
      <w:r w:rsidRPr="004D460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D4604">
        <w:rPr>
          <w:rFonts w:ascii="Times New Roman" w:hAnsi="Times New Roman" w:cs="Times New Roman"/>
          <w:sz w:val="24"/>
          <w:szCs w:val="24"/>
          <w:lang w:eastAsia="uk-UA"/>
        </w:rPr>
        <w:t>Брусенко</w:t>
      </w:r>
      <w:proofErr w:type="spellEnd"/>
      <w:r w:rsidRPr="004D4604">
        <w:rPr>
          <w:rFonts w:ascii="Times New Roman" w:hAnsi="Times New Roman" w:cs="Times New Roman"/>
          <w:sz w:val="24"/>
          <w:szCs w:val="24"/>
          <w:lang w:eastAsia="uk-UA"/>
        </w:rPr>
        <w:t xml:space="preserve"> Олена   - секретар Інвестиційної ради, секретар ради .</w:t>
      </w:r>
    </w:p>
    <w:p w:rsidR="00691291" w:rsidRPr="00691291" w:rsidRDefault="00691291" w:rsidP="00691291">
      <w:pPr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Всього членів комісії: 12осіб  </w:t>
      </w:r>
    </w:p>
    <w:p w:rsidR="00211B9C" w:rsidRDefault="00211B9C" w:rsidP="00691291">
      <w:pPr>
        <w:spacing w:before="220" w:after="22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691291" w:rsidRPr="00691291" w:rsidRDefault="00691291" w:rsidP="00691291">
      <w:pPr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Присутні: 12 осіб                  </w:t>
      </w:r>
      <w:r w:rsidRPr="00691291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</w:t>
      </w:r>
    </w:p>
    <w:p w:rsidR="00691291" w:rsidRPr="00691291" w:rsidRDefault="00691291" w:rsidP="00691291">
      <w:pPr>
        <w:spacing w:after="0" w:line="240" w:lineRule="auto"/>
        <w:ind w:right="-5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ПОЛЯКОВ О.П.,  </w:t>
      </w:r>
      <w:proofErr w:type="spellStart"/>
      <w:r w:rsidRPr="006912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Новоодеський</w:t>
      </w:r>
      <w:proofErr w:type="spellEnd"/>
      <w:r w:rsidRPr="006912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міський голова - </w:t>
      </w:r>
      <w:r w:rsidRPr="006912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Голова міської інвестиційної ради </w:t>
      </w:r>
    </w:p>
    <w:p w:rsidR="00691291" w:rsidRPr="00691291" w:rsidRDefault="00691291" w:rsidP="00691291">
      <w:pPr>
        <w:spacing w:before="280" w:after="0" w:line="240" w:lineRule="auto"/>
        <w:ind w:right="-1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ЗЛА  С.Л.</w:t>
      </w:r>
      <w:r w:rsidRPr="006912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заступник міського голови</w:t>
      </w:r>
      <w:r w:rsidRPr="00691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- </w:t>
      </w:r>
      <w:r w:rsidRPr="006912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Заступниця голови міської інвестиційної ради</w:t>
      </w:r>
    </w:p>
    <w:p w:rsidR="00691291" w:rsidRPr="00691291" w:rsidRDefault="00691291" w:rsidP="00691291">
      <w:pPr>
        <w:spacing w:before="280" w:after="0" w:line="240" w:lineRule="auto"/>
        <w:ind w:right="-58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91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Брусенко</w:t>
      </w:r>
      <w:proofErr w:type="spellEnd"/>
      <w:r w:rsidRPr="00691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О.О.</w:t>
      </w:r>
      <w:r w:rsidRPr="006912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секретар міської ради -</w:t>
      </w:r>
      <w:r w:rsidR="004D4604" w:rsidRPr="009736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912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Секретар міської інвестиційної ради</w:t>
      </w:r>
    </w:p>
    <w:p w:rsidR="00973685" w:rsidRPr="00497344" w:rsidRDefault="00973685" w:rsidP="00691291">
      <w:pPr>
        <w:spacing w:before="240" w:after="0" w:line="240" w:lineRule="auto"/>
        <w:ind w:left="1960" w:right="1480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uk-UA"/>
        </w:rPr>
      </w:pPr>
    </w:p>
    <w:p w:rsidR="00691291" w:rsidRPr="00691291" w:rsidRDefault="00691291" w:rsidP="00691291">
      <w:pPr>
        <w:spacing w:before="240" w:after="0" w:line="240" w:lineRule="auto"/>
        <w:ind w:left="1960" w:right="148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uk-UA"/>
        </w:rPr>
        <w:t>Члени міської інвестиційної ради: </w:t>
      </w:r>
    </w:p>
    <w:p w:rsidR="00691291" w:rsidRPr="00691291" w:rsidRDefault="00691291" w:rsidP="00691291">
      <w:pPr>
        <w:spacing w:before="240" w:after="0" w:line="240" w:lineRule="auto"/>
        <w:ind w:left="1960" w:right="148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7595"/>
      </w:tblGrid>
      <w:tr w:rsidR="00691291" w:rsidRPr="00691291" w:rsidTr="004D4604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Журба І.М.</w:t>
            </w:r>
          </w:p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Заступник міського голови </w:t>
            </w:r>
          </w:p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</w:tr>
      <w:tr w:rsidR="00691291" w:rsidRPr="00691291" w:rsidTr="004D4604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Юхименко В. А.</w:t>
            </w:r>
          </w:p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Начальниця відділу містобудування, архітектури, розвитку інфраструктури</w:t>
            </w:r>
          </w:p>
        </w:tc>
      </w:tr>
      <w:tr w:rsidR="00691291" w:rsidRPr="00691291" w:rsidTr="004D4604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Хлівна-Андреєва</w:t>
            </w:r>
            <w:proofErr w:type="spellEnd"/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 xml:space="preserve"> О.Г.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Начальниця відділу економіки та інвестиційного розвитку</w:t>
            </w:r>
          </w:p>
        </w:tc>
      </w:tr>
      <w:tr w:rsidR="00691291" w:rsidRPr="00691291" w:rsidTr="004D4604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Литвиненко Т.Г.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Начальниця фінансового управління</w:t>
            </w:r>
          </w:p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</w:tr>
      <w:tr w:rsidR="00691291" w:rsidRPr="00691291" w:rsidTr="004D4604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Молчановська</w:t>
            </w:r>
            <w:proofErr w:type="spellEnd"/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 xml:space="preserve"> Н.В.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Начальниця управління освіти </w:t>
            </w:r>
          </w:p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</w:tr>
      <w:tr w:rsidR="00691291" w:rsidRPr="00691291" w:rsidTr="004D4604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Щербина В.В.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Начальник відділу з питань ЖКГ та цивільного захисту </w:t>
            </w:r>
          </w:p>
        </w:tc>
      </w:tr>
      <w:tr w:rsidR="00691291" w:rsidRPr="00691291" w:rsidTr="004D4604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Венгеровська</w:t>
            </w:r>
            <w:proofErr w:type="spellEnd"/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 xml:space="preserve"> Т.П.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Начальниця управління соціального захисту населення </w:t>
            </w:r>
          </w:p>
        </w:tc>
      </w:tr>
      <w:tr w:rsidR="00691291" w:rsidRPr="00691291" w:rsidTr="004D4604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Бітіньш</w:t>
            </w:r>
            <w:proofErr w:type="spellEnd"/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 xml:space="preserve"> Р.Я.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Голова ГО «</w:t>
            </w:r>
            <w:proofErr w:type="spellStart"/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Новоодеська</w:t>
            </w:r>
            <w:proofErr w:type="spellEnd"/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 xml:space="preserve"> рада старійшин», депутат Новоодеської міської ради, голова комісії з планування бюджету  </w:t>
            </w:r>
          </w:p>
        </w:tc>
      </w:tr>
      <w:tr w:rsidR="00691291" w:rsidRPr="00691291" w:rsidTr="004D4604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Довгань О.О.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1291" w:rsidRPr="00691291" w:rsidRDefault="00691291" w:rsidP="00691291">
            <w:pPr>
              <w:spacing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начальник юридичного відділу, депутат Новоодеської міської ради</w:t>
            </w: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  <w:bottom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691291" w:rsidRPr="00691291" w:rsidTr="004D4604">
        <w:trPr>
          <w:gridAfter w:val="1"/>
        </w:trPr>
        <w:tc>
          <w:tcPr>
            <w:tcW w:w="0" w:type="auto"/>
            <w:tcBorders>
              <w:top w:val="single" w:sz="6" w:space="0" w:color="E9ECE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691291" w:rsidP="0069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691291" w:rsidRPr="00691291" w:rsidRDefault="00691291" w:rsidP="00691291">
      <w:pPr>
        <w:spacing w:before="220" w:line="240" w:lineRule="auto"/>
        <w:ind w:firstLine="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ПОРЯДОК ДЕННИЙ</w:t>
      </w:r>
    </w:p>
    <w:p w:rsidR="00691291" w:rsidRPr="00691291" w:rsidRDefault="00691291" w:rsidP="00691291">
      <w:pPr>
        <w:spacing w:before="220"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1.Про схвалення  Єдиного </w:t>
      </w:r>
      <w:proofErr w:type="spellStart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проєктного</w:t>
      </w:r>
      <w:proofErr w:type="spellEnd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портфеля здійснення публічних інвестицій  </w:t>
      </w:r>
      <w:r w:rsidR="00973685"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Новоодеської</w:t>
      </w: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  </w:t>
      </w:r>
      <w:r w:rsidR="00973685"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міської</w:t>
      </w: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територіальної громади на 2026 рік </w:t>
      </w:r>
    </w:p>
    <w:p w:rsidR="00691291" w:rsidRPr="00691291" w:rsidRDefault="00691291" w:rsidP="00211B9C">
      <w:pPr>
        <w:spacing w:before="2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ВИСТУПИЛИ: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Поляков</w:t>
      </w:r>
      <w:proofErr w:type="spellEnd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Олександр 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</w:t>
      </w:r>
      <w:r w:rsidR="0097368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міський  голова, який довів до відома присутніх, що відповідно до внесених змін до Бюджетного кодексу України, які набрали чинності у 2025 році, запроваджено реформу  у сфері управління  публічними інвестиціями.  </w:t>
      </w:r>
    </w:p>
    <w:p w:rsidR="00691291" w:rsidRPr="00691291" w:rsidRDefault="00691291" w:rsidP="00691291">
      <w:pPr>
        <w:spacing w:before="2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 зв'язку з цим рішенням виконавчого комітету </w:t>
      </w:r>
      <w:r w:rsidR="00973685"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Новоодеської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міської ради від 21.08.2025 року №530 створено  місцеву інвестиційну раду та затверджено положення та  її персональний склад ( далі – інвестиційна рада).</w:t>
      </w:r>
    </w:p>
    <w:p w:rsidR="00691291" w:rsidRPr="00691291" w:rsidRDefault="00691291" w:rsidP="00691291">
      <w:pPr>
        <w:spacing w:before="220" w:after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Основним завданням інвестиційної ради є:</w:t>
      </w:r>
    </w:p>
    <w:p w:rsidR="00691291" w:rsidRPr="00691291" w:rsidRDefault="00691291" w:rsidP="00691291">
      <w:pPr>
        <w:spacing w:before="220" w:after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- схвалення середньострокового плану пріоритетних публічних інвестицій громади та Єдиного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проєктного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портфеля здійснення публічних інвестицій громади;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розгляд пропозицій щодо стратегічних пріоритетів здійснення публічних інвестицій.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Відповідно до Порядку формування єдиного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проєктного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портфеля публічних інвестицій держави (регіону, територіальної громади) і галузевого (секторального)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проєктного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портфеля держави (регіону, територіальної громади), який затверджений постановою КМУ від 28.02.2025 №527 (зі змінами від 26.08.2025 №1049),  за результатами експертної оцінки забезпечується підготовка та подання проєкту єдиного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проєктного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портфеля публічних інвестицій територіальної громади на схвалення до місцевої інвестиційної ради.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Внесення змін до єдиного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проєктного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портфеля публічних інвестицій територіальної громади здійснюється  за  пропозиціями галузевих (секторальних) підрозділів та подання їх на розгляд місцевої інвестиційної ради не частіше,  ніж один раз на квартал.</w:t>
      </w:r>
    </w:p>
    <w:p w:rsidR="00691291" w:rsidRPr="00691291" w:rsidRDefault="00691291" w:rsidP="00691291">
      <w:pPr>
        <w:spacing w:before="220" w:after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691291" w:rsidRPr="00691291" w:rsidRDefault="00691291" w:rsidP="00691291">
      <w:pPr>
        <w:spacing w:before="220" w:after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СЛУХАЛИ: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Олену </w:t>
      </w:r>
      <w:proofErr w:type="spellStart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Хлівну-Андреєву</w:t>
      </w:r>
      <w:proofErr w:type="spellEnd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начальни</w:t>
      </w:r>
      <w:r w:rsidR="00211B9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цю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відділу  економіки та інвестиційного  розвитку міської  ради, яка зауважила, що у серпні 2025 року був  затверджений Середньостроковий  план пріоритетних публічних інвестицій територіальної громади на 2026-2028 роки (далі – СППІ). 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Наступним етапом реалізації системи управління публічними інвестиціями є схвалення Єдиного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проєктного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портфеля здійснення публічних  інвестицій на 2026 рік.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процесі його формування дотримано вимоги чинного законодавства, застосовано сучасні інструменти планування та відбору інвестиційних ініціатив. Вся процедура-від реєстрації до експертної оцінки-проводилася з використанням  цифрової системи DREAM,  що забезпечує відкритість, прозорість  та стандартизований підхід до управління публічними інвестиціями.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Єдиного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проєктного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портфеля включаються лише ті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проєкти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що відповідають напрямам публічного інвестування, визначеним як пріоритетні у СППІ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Новоодеськоі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міської  територіальної громади.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Проєкти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що відповідають напрямам публічного 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інвестування, але не визначені як пріоритетні, залишаються в секторальних портфелях відповідних галузей.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Структурними підрозділами та комунальними закладами  ініційовано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(сім)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проєктів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спрямовані на розвиток</w:t>
      </w:r>
      <w:r w:rsidR="006829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ключов</w:t>
      </w:r>
      <w:r w:rsidR="00211B9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ого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секторів громади :</w:t>
      </w:r>
    </w:p>
    <w:p w:rsidR="00691291" w:rsidRPr="00691291" w:rsidRDefault="00691291" w:rsidP="00691291">
      <w:pPr>
        <w:spacing w:before="2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 xml:space="preserve">Освіта і наука </w:t>
      </w:r>
    </w:p>
    <w:p w:rsidR="00691291" w:rsidRPr="00691291" w:rsidRDefault="00691291" w:rsidP="00691291">
      <w:pPr>
        <w:spacing w:before="2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 xml:space="preserve">Сектор  публічного інвестування: </w:t>
      </w:r>
      <w:r w:rsidR="006829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>«</w:t>
      </w: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>Освіта і наука»:</w:t>
      </w:r>
    </w:p>
    <w:tbl>
      <w:tblPr>
        <w:tblW w:w="9723" w:type="dxa"/>
        <w:tblInd w:w="91" w:type="dxa"/>
        <w:tblLook w:val="04A0"/>
      </w:tblPr>
      <w:tblGrid>
        <w:gridCol w:w="9723"/>
      </w:tblGrid>
      <w:tr w:rsidR="006829BF" w:rsidRPr="006829BF" w:rsidTr="006829BF">
        <w:trPr>
          <w:trHeight w:val="3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BF" w:rsidRPr="00D86279" w:rsidRDefault="006829BF" w:rsidP="00FA1A43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  <w:lang w:eastAsia="uk-UA"/>
              </w:rPr>
              <w:t xml:space="preserve">Нове будівництво самопливної мережі каналізації вздовж вул. Центральної від </w:t>
            </w:r>
            <w:proofErr w:type="spellStart"/>
            <w:r w:rsidRPr="00D86279">
              <w:rPr>
                <w:rFonts w:ascii="Times New Roman" w:hAnsi="Times New Roman" w:cs="Times New Roman"/>
                <w:lang w:eastAsia="uk-UA"/>
              </w:rPr>
              <w:t>Новоодеського</w:t>
            </w:r>
            <w:proofErr w:type="spellEnd"/>
            <w:r w:rsidRPr="00D86279">
              <w:rPr>
                <w:rFonts w:ascii="Times New Roman" w:hAnsi="Times New Roman" w:cs="Times New Roman"/>
                <w:lang w:eastAsia="uk-UA"/>
              </w:rPr>
              <w:t xml:space="preserve"> ліцею № 1 в бік вул. </w:t>
            </w:r>
            <w:proofErr w:type="spellStart"/>
            <w:r w:rsidRPr="00D86279">
              <w:rPr>
                <w:rFonts w:ascii="Times New Roman" w:hAnsi="Times New Roman" w:cs="Times New Roman"/>
                <w:lang w:eastAsia="uk-UA"/>
              </w:rPr>
              <w:t>Кухарєва</w:t>
            </w:r>
            <w:proofErr w:type="spellEnd"/>
            <w:r w:rsidRPr="00D86279">
              <w:rPr>
                <w:rFonts w:ascii="Times New Roman" w:hAnsi="Times New Roman" w:cs="Times New Roman"/>
                <w:lang w:eastAsia="uk-UA"/>
              </w:rPr>
              <w:t xml:space="preserve"> з підключенням в існуючу мережу каналізації в місті Нова Одеса Миколаївської області.</w:t>
            </w:r>
            <w:r w:rsidR="00FC023E" w:rsidRPr="00D86279">
              <w:rPr>
                <w:rFonts w:ascii="Times New Roman" w:hAnsi="Times New Roman" w:cs="Times New Roman"/>
              </w:rPr>
              <w:t xml:space="preserve"> ЗА НАПРЯМОМ ІНВЕСТУВАННЯ</w:t>
            </w:r>
            <w:r w:rsidR="00FA1A43">
              <w:rPr>
                <w:rFonts w:ascii="Times New Roman" w:hAnsi="Times New Roman" w:cs="Times New Roman"/>
              </w:rPr>
              <w:t xml:space="preserve"> </w:t>
            </w:r>
            <w:r w:rsidR="007901C3" w:rsidRPr="00D86279">
              <w:rPr>
                <w:rFonts w:ascii="Times New Roman" w:hAnsi="Times New Roman" w:cs="Times New Roman"/>
              </w:rPr>
              <w:t xml:space="preserve">«Нове будівництво  самопливної мережі  </w:t>
            </w:r>
            <w:proofErr w:type="spellStart"/>
            <w:r w:rsidR="007901C3" w:rsidRPr="00D86279">
              <w:rPr>
                <w:rFonts w:ascii="Times New Roman" w:hAnsi="Times New Roman" w:cs="Times New Roman"/>
              </w:rPr>
              <w:t>каналізацій</w:t>
            </w:r>
            <w:proofErr w:type="spellEnd"/>
            <w:r w:rsidR="007901C3" w:rsidRPr="00D86279">
              <w:rPr>
                <w:rFonts w:ascii="Times New Roman" w:hAnsi="Times New Roman" w:cs="Times New Roman"/>
              </w:rPr>
              <w:t xml:space="preserve">  вздовж </w:t>
            </w:r>
            <w:proofErr w:type="spellStart"/>
            <w:r w:rsidR="007901C3" w:rsidRPr="00D86279">
              <w:rPr>
                <w:rFonts w:ascii="Times New Roman" w:hAnsi="Times New Roman" w:cs="Times New Roman"/>
              </w:rPr>
              <w:t>вул</w:t>
            </w:r>
            <w:proofErr w:type="spellEnd"/>
            <w:r w:rsidR="007901C3" w:rsidRPr="00D86279">
              <w:rPr>
                <w:rFonts w:ascii="Times New Roman" w:hAnsi="Times New Roman" w:cs="Times New Roman"/>
              </w:rPr>
              <w:t xml:space="preserve"> Центральної  для </w:t>
            </w:r>
            <w:proofErr w:type="spellStart"/>
            <w:r w:rsidR="007901C3" w:rsidRPr="00D86279">
              <w:rPr>
                <w:rFonts w:ascii="Times New Roman" w:hAnsi="Times New Roman" w:cs="Times New Roman"/>
              </w:rPr>
              <w:t>Новоодеського</w:t>
            </w:r>
            <w:proofErr w:type="spellEnd"/>
            <w:r w:rsidR="007901C3" w:rsidRPr="00D86279">
              <w:rPr>
                <w:rFonts w:ascii="Times New Roman" w:hAnsi="Times New Roman" w:cs="Times New Roman"/>
              </w:rPr>
              <w:t xml:space="preserve"> ліцею №1»</w:t>
            </w:r>
          </w:p>
        </w:tc>
      </w:tr>
      <w:tr w:rsidR="006829BF" w:rsidRPr="006829BF" w:rsidTr="006829BF">
        <w:trPr>
          <w:trHeight w:val="3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2C" w:rsidRPr="00D86279" w:rsidRDefault="0079762C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 xml:space="preserve">Загальна вартість проєкту  – </w:t>
            </w:r>
            <w:r w:rsidR="003B7AA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>3188802</w:t>
            </w:r>
            <w:r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 xml:space="preserve"> грн.</w:t>
            </w:r>
          </w:p>
          <w:p w:rsidR="006829BF" w:rsidRPr="00D86279" w:rsidRDefault="006829BF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</w:p>
          <w:p w:rsidR="006829BF" w:rsidRPr="00D86279" w:rsidRDefault="006829BF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D86279">
              <w:rPr>
                <w:rFonts w:ascii="Times New Roman" w:hAnsi="Times New Roman" w:cs="Times New Roman"/>
                <w:lang w:eastAsia="uk-UA"/>
              </w:rPr>
              <w:t>Дооснащення</w:t>
            </w:r>
            <w:proofErr w:type="spellEnd"/>
            <w:r w:rsidRPr="00D86279">
              <w:rPr>
                <w:rFonts w:ascii="Times New Roman" w:hAnsi="Times New Roman" w:cs="Times New Roman"/>
                <w:lang w:eastAsia="uk-UA"/>
              </w:rPr>
              <w:t xml:space="preserve"> кабінету "Захист України" в </w:t>
            </w:r>
            <w:proofErr w:type="spellStart"/>
            <w:r w:rsidRPr="00D86279">
              <w:rPr>
                <w:rFonts w:ascii="Times New Roman" w:hAnsi="Times New Roman" w:cs="Times New Roman"/>
                <w:lang w:eastAsia="uk-UA"/>
              </w:rPr>
              <w:t>Новоодеському</w:t>
            </w:r>
            <w:proofErr w:type="spellEnd"/>
            <w:r w:rsidRPr="00D86279">
              <w:rPr>
                <w:rFonts w:ascii="Times New Roman" w:hAnsi="Times New Roman" w:cs="Times New Roman"/>
                <w:lang w:eastAsia="uk-UA"/>
              </w:rPr>
              <w:t xml:space="preserve"> ліцеї № 4 (Академічний ліцей з 01.09.2027 року)</w:t>
            </w:r>
            <w:r w:rsidR="00D86279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FC023E" w:rsidRPr="00D86279">
              <w:rPr>
                <w:rFonts w:ascii="Times New Roman" w:hAnsi="Times New Roman" w:cs="Times New Roman"/>
              </w:rPr>
              <w:t xml:space="preserve">ЗА НАПРЯМОМ ІНВЕСТУВАННЯ </w:t>
            </w:r>
            <w:r w:rsidR="007901C3" w:rsidRPr="00D86279">
              <w:rPr>
                <w:rFonts w:ascii="Times New Roman" w:hAnsi="Times New Roman" w:cs="Times New Roman"/>
              </w:rPr>
              <w:t>«</w:t>
            </w:r>
            <w:r w:rsidR="001E5CBA" w:rsidRPr="00D86279">
              <w:rPr>
                <w:rFonts w:ascii="Times New Roman" w:hAnsi="Times New Roman" w:cs="Times New Roman"/>
              </w:rPr>
              <w:t>Створення умов для реформи старшої профільної школи</w:t>
            </w:r>
            <w:r w:rsidR="007901C3" w:rsidRPr="00D86279">
              <w:rPr>
                <w:rFonts w:ascii="Times New Roman" w:hAnsi="Times New Roman" w:cs="Times New Roman"/>
              </w:rPr>
              <w:t>»</w:t>
            </w:r>
            <w:r w:rsidR="00D86279">
              <w:rPr>
                <w:rFonts w:ascii="Times New Roman" w:hAnsi="Times New Roman" w:cs="Times New Roman"/>
              </w:rPr>
              <w:t>.</w:t>
            </w:r>
          </w:p>
        </w:tc>
      </w:tr>
      <w:tr w:rsidR="006829BF" w:rsidRPr="006829BF" w:rsidTr="006829BF">
        <w:trPr>
          <w:trHeight w:val="3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2C" w:rsidRPr="00D86279" w:rsidRDefault="0079762C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 xml:space="preserve">Загальна вартість проєкту  – </w:t>
            </w:r>
            <w:r w:rsidR="003B7AA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>3000001</w:t>
            </w:r>
            <w:r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>грн.</w:t>
            </w:r>
          </w:p>
          <w:p w:rsidR="006829BF" w:rsidRPr="00D86279" w:rsidRDefault="006829BF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</w:p>
          <w:p w:rsidR="00AF67E9" w:rsidRPr="00D86279" w:rsidRDefault="006829BF" w:rsidP="00D86279">
            <w:pPr>
              <w:pStyle w:val="a4"/>
              <w:rPr>
                <w:rFonts w:ascii="Times New Roman" w:hAnsi="Times New Roman" w:cs="Times New Roman"/>
              </w:rPr>
            </w:pPr>
            <w:r w:rsidRPr="00D86279">
              <w:rPr>
                <w:rFonts w:ascii="Times New Roman" w:hAnsi="Times New Roman" w:cs="Times New Roman"/>
                <w:lang w:eastAsia="uk-UA"/>
              </w:rPr>
              <w:t xml:space="preserve">Створення академічного ліцею в </w:t>
            </w:r>
            <w:proofErr w:type="spellStart"/>
            <w:r w:rsidRPr="00D86279">
              <w:rPr>
                <w:rFonts w:ascii="Times New Roman" w:hAnsi="Times New Roman" w:cs="Times New Roman"/>
                <w:lang w:eastAsia="uk-UA"/>
              </w:rPr>
              <w:t>Новоодеській</w:t>
            </w:r>
            <w:proofErr w:type="spellEnd"/>
            <w:r w:rsidRPr="00D86279">
              <w:rPr>
                <w:rFonts w:ascii="Times New Roman" w:hAnsi="Times New Roman" w:cs="Times New Roman"/>
                <w:lang w:eastAsia="uk-UA"/>
              </w:rPr>
              <w:t xml:space="preserve"> міській територіальній громаді.</w:t>
            </w:r>
            <w:r w:rsidR="00AF67E9" w:rsidRPr="00D86279">
              <w:rPr>
                <w:rFonts w:ascii="Times New Roman" w:hAnsi="Times New Roman" w:cs="Times New Roman"/>
              </w:rPr>
              <w:t xml:space="preserve"> </w:t>
            </w:r>
          </w:p>
          <w:p w:rsidR="006829BF" w:rsidRPr="00D86279" w:rsidRDefault="00AF67E9" w:rsidP="001378FD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</w:rPr>
              <w:t>ЗА НАПРЯМОМ ІНВЕСТУВАННЯ</w:t>
            </w:r>
            <w:r w:rsidR="00D86279">
              <w:rPr>
                <w:rFonts w:ascii="Times New Roman" w:hAnsi="Times New Roman" w:cs="Times New Roman"/>
              </w:rPr>
              <w:t>.</w:t>
            </w:r>
            <w:r w:rsidR="007901C3" w:rsidRPr="00D86279">
              <w:rPr>
                <w:rFonts w:ascii="Times New Roman" w:hAnsi="Times New Roman" w:cs="Times New Roman"/>
              </w:rPr>
              <w:t>«</w:t>
            </w:r>
            <w:r w:rsidR="00FC023E" w:rsidRPr="00D86279">
              <w:rPr>
                <w:rFonts w:ascii="Times New Roman" w:hAnsi="Times New Roman" w:cs="Times New Roman"/>
              </w:rPr>
              <w:t>Створення мережі закладів освіти (ліцеїв) , які реалізують Державний стандарт профільної освіти</w:t>
            </w:r>
            <w:r w:rsidR="001378FD">
              <w:rPr>
                <w:rFonts w:ascii="Times New Roman" w:hAnsi="Times New Roman" w:cs="Times New Roman"/>
              </w:rPr>
              <w:t>.</w:t>
            </w:r>
          </w:p>
        </w:tc>
      </w:tr>
      <w:tr w:rsidR="006829BF" w:rsidRPr="006829BF" w:rsidTr="006829BF">
        <w:trPr>
          <w:trHeight w:val="3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2C" w:rsidRPr="00D86279" w:rsidRDefault="0079762C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 xml:space="preserve">Загальна вартість проєкту  – </w:t>
            </w:r>
            <w:r w:rsidR="00FB2C4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>3500000</w:t>
            </w:r>
            <w:r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 xml:space="preserve"> грн.</w:t>
            </w:r>
          </w:p>
          <w:p w:rsidR="006829BF" w:rsidRPr="00D86279" w:rsidRDefault="006829BF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</w:p>
          <w:p w:rsidR="00AF67E9" w:rsidRPr="00D86279" w:rsidRDefault="006829BF" w:rsidP="00D86279">
            <w:pPr>
              <w:pStyle w:val="a4"/>
              <w:rPr>
                <w:rFonts w:ascii="Times New Roman" w:hAnsi="Times New Roman" w:cs="Times New Roman"/>
              </w:rPr>
            </w:pPr>
            <w:r w:rsidRPr="00D86279">
              <w:rPr>
                <w:rFonts w:ascii="Times New Roman" w:hAnsi="Times New Roman" w:cs="Times New Roman"/>
                <w:lang w:eastAsia="uk-UA"/>
              </w:rPr>
              <w:t xml:space="preserve">Створення </w:t>
            </w:r>
            <w:proofErr w:type="spellStart"/>
            <w:r w:rsidRPr="00D86279">
              <w:rPr>
                <w:rFonts w:ascii="Times New Roman" w:hAnsi="Times New Roman" w:cs="Times New Roman"/>
                <w:lang w:eastAsia="uk-UA"/>
              </w:rPr>
              <w:t>безбар'єрного</w:t>
            </w:r>
            <w:proofErr w:type="spellEnd"/>
            <w:r w:rsidRPr="00D86279">
              <w:rPr>
                <w:rFonts w:ascii="Times New Roman" w:hAnsi="Times New Roman" w:cs="Times New Roman"/>
                <w:lang w:eastAsia="uk-UA"/>
              </w:rPr>
              <w:t xml:space="preserve"> простору в закладах загальної середньої освіти Новоодеської міської ради</w:t>
            </w:r>
            <w:r w:rsidR="00AF67E9" w:rsidRPr="00D86279">
              <w:rPr>
                <w:rFonts w:ascii="Times New Roman" w:hAnsi="Times New Roman" w:cs="Times New Roman"/>
              </w:rPr>
              <w:t xml:space="preserve"> </w:t>
            </w:r>
          </w:p>
          <w:p w:rsidR="00AF67E9" w:rsidRPr="00D86279" w:rsidRDefault="00AF67E9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</w:rPr>
              <w:t>ЗА НАПРЯМОМ ІНВЕСТУВАННЯ</w:t>
            </w:r>
          </w:p>
          <w:p w:rsidR="006829BF" w:rsidRPr="00D86279" w:rsidRDefault="007901C3" w:rsidP="001378FD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</w:rPr>
              <w:t>«</w:t>
            </w:r>
            <w:r w:rsidR="00AF67E9" w:rsidRPr="00D86279">
              <w:rPr>
                <w:rFonts w:ascii="Times New Roman" w:hAnsi="Times New Roman" w:cs="Times New Roman"/>
              </w:rPr>
              <w:t>Організація  якісного і</w:t>
            </w:r>
            <w:r w:rsidR="00FA1A43">
              <w:rPr>
                <w:rFonts w:ascii="Times New Roman" w:hAnsi="Times New Roman" w:cs="Times New Roman"/>
              </w:rPr>
              <w:t xml:space="preserve"> </w:t>
            </w:r>
            <w:r w:rsidR="00AF67E9" w:rsidRPr="00D86279">
              <w:rPr>
                <w:rFonts w:ascii="Times New Roman" w:hAnsi="Times New Roman" w:cs="Times New Roman"/>
              </w:rPr>
              <w:t xml:space="preserve">безпечного </w:t>
            </w:r>
            <w:proofErr w:type="spellStart"/>
            <w:r w:rsidR="00AF67E9" w:rsidRPr="00D86279">
              <w:rPr>
                <w:rFonts w:ascii="Times New Roman" w:hAnsi="Times New Roman" w:cs="Times New Roman"/>
              </w:rPr>
              <w:t>безбарєрного</w:t>
            </w:r>
            <w:proofErr w:type="spellEnd"/>
            <w:r w:rsidR="00AF67E9" w:rsidRPr="00D86279">
              <w:rPr>
                <w:rFonts w:ascii="Times New Roman" w:hAnsi="Times New Roman" w:cs="Times New Roman"/>
              </w:rPr>
              <w:t xml:space="preserve"> доступу в закладах </w:t>
            </w:r>
            <w:r w:rsidR="00FA1A43" w:rsidRPr="00D86279">
              <w:rPr>
                <w:rFonts w:ascii="Times New Roman" w:hAnsi="Times New Roman" w:cs="Times New Roman"/>
              </w:rPr>
              <w:t>загальної</w:t>
            </w:r>
            <w:r w:rsidR="00AF67E9" w:rsidRPr="00D86279">
              <w:rPr>
                <w:rFonts w:ascii="Times New Roman" w:hAnsi="Times New Roman" w:cs="Times New Roman"/>
              </w:rPr>
              <w:t xml:space="preserve"> середньої освіти</w:t>
            </w:r>
            <w:r w:rsidRPr="00D86279">
              <w:rPr>
                <w:rFonts w:ascii="Times New Roman" w:hAnsi="Times New Roman" w:cs="Times New Roman"/>
              </w:rPr>
              <w:t>»</w:t>
            </w:r>
            <w:r w:rsidR="001378FD">
              <w:rPr>
                <w:rFonts w:ascii="Times New Roman" w:hAnsi="Times New Roman" w:cs="Times New Roman"/>
              </w:rPr>
              <w:t>.</w:t>
            </w:r>
          </w:p>
        </w:tc>
      </w:tr>
      <w:tr w:rsidR="006829BF" w:rsidRPr="006829BF" w:rsidTr="006829BF">
        <w:trPr>
          <w:trHeight w:val="3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2C" w:rsidRPr="00D86279" w:rsidRDefault="0079762C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 xml:space="preserve">Загальна вартість проєкту  – </w:t>
            </w:r>
            <w:r w:rsidR="00FB2C4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>2998000</w:t>
            </w:r>
            <w:r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 xml:space="preserve"> грн.</w:t>
            </w:r>
          </w:p>
          <w:p w:rsidR="006829BF" w:rsidRPr="00D86279" w:rsidRDefault="006829BF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</w:p>
          <w:p w:rsidR="00AF67E9" w:rsidRPr="00D86279" w:rsidRDefault="006829BF" w:rsidP="00D86279">
            <w:pPr>
              <w:pStyle w:val="a4"/>
              <w:rPr>
                <w:rFonts w:ascii="Times New Roman" w:hAnsi="Times New Roman" w:cs="Times New Roman"/>
              </w:rPr>
            </w:pPr>
            <w:r w:rsidRPr="00D86279">
              <w:rPr>
                <w:rFonts w:ascii="Times New Roman" w:hAnsi="Times New Roman" w:cs="Times New Roman"/>
                <w:lang w:eastAsia="uk-UA"/>
              </w:rPr>
              <w:t>Придбання шкільного автобуса для забезпечення безперешкодного доступу до якісної освіти на території Новоодеської міської територіальної громади</w:t>
            </w:r>
            <w:r w:rsidR="00AF67E9" w:rsidRPr="00D86279">
              <w:rPr>
                <w:rFonts w:ascii="Times New Roman" w:hAnsi="Times New Roman" w:cs="Times New Roman"/>
              </w:rPr>
              <w:t xml:space="preserve"> </w:t>
            </w:r>
          </w:p>
          <w:p w:rsidR="00AF67E9" w:rsidRPr="00D86279" w:rsidRDefault="00AF67E9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</w:rPr>
              <w:t>ЗА НАПРЯМОМ ІНВЕСТУВАННЯ</w:t>
            </w:r>
          </w:p>
          <w:p w:rsidR="006829BF" w:rsidRPr="00D86279" w:rsidRDefault="007901C3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</w:rPr>
              <w:t>«</w:t>
            </w:r>
            <w:r w:rsidR="00AF67E9" w:rsidRPr="00D86279">
              <w:rPr>
                <w:rFonts w:ascii="Times New Roman" w:hAnsi="Times New Roman" w:cs="Times New Roman"/>
              </w:rPr>
              <w:t>Безперешкодний доступ до якісної освіти - шкільні автобуси</w:t>
            </w:r>
            <w:r w:rsidRPr="00D86279">
              <w:rPr>
                <w:rFonts w:ascii="Times New Roman" w:hAnsi="Times New Roman" w:cs="Times New Roman"/>
              </w:rPr>
              <w:t>»</w:t>
            </w:r>
            <w:r w:rsidR="00D86279">
              <w:rPr>
                <w:rFonts w:ascii="Times New Roman" w:hAnsi="Times New Roman" w:cs="Times New Roman"/>
              </w:rPr>
              <w:t>.</w:t>
            </w:r>
          </w:p>
        </w:tc>
      </w:tr>
      <w:tr w:rsidR="006829BF" w:rsidRPr="006829BF" w:rsidTr="006829BF">
        <w:trPr>
          <w:trHeight w:val="3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2C" w:rsidRPr="00D86279" w:rsidRDefault="00FB2C49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>Загальна вартість проєкту  – 9020000</w:t>
            </w:r>
            <w:r w:rsidR="0079762C"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 xml:space="preserve"> грн.</w:t>
            </w:r>
          </w:p>
          <w:p w:rsidR="006829BF" w:rsidRPr="00D86279" w:rsidRDefault="006829BF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</w:p>
          <w:p w:rsidR="001B43BE" w:rsidRPr="00D86279" w:rsidRDefault="006829BF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  <w:lang w:eastAsia="uk-UA"/>
              </w:rPr>
              <w:t xml:space="preserve">Сучасний </w:t>
            </w:r>
            <w:r w:rsidR="00B375E3" w:rsidRPr="00D86279">
              <w:rPr>
                <w:rFonts w:ascii="Times New Roman" w:hAnsi="Times New Roman" w:cs="Times New Roman"/>
                <w:lang w:eastAsia="uk-UA"/>
              </w:rPr>
              <w:t>освітній</w:t>
            </w:r>
            <w:r w:rsidR="00B375E3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D86279">
              <w:rPr>
                <w:rFonts w:ascii="Times New Roman" w:hAnsi="Times New Roman" w:cs="Times New Roman"/>
                <w:lang w:eastAsia="uk-UA"/>
              </w:rPr>
              <w:t xml:space="preserve"> простір в </w:t>
            </w:r>
            <w:proofErr w:type="spellStart"/>
            <w:r w:rsidRPr="00D86279">
              <w:rPr>
                <w:rFonts w:ascii="Times New Roman" w:hAnsi="Times New Roman" w:cs="Times New Roman"/>
                <w:lang w:eastAsia="uk-UA"/>
              </w:rPr>
              <w:t>Новоодеському</w:t>
            </w:r>
            <w:proofErr w:type="spellEnd"/>
            <w:r w:rsidRPr="00D86279">
              <w:rPr>
                <w:rFonts w:ascii="Times New Roman" w:hAnsi="Times New Roman" w:cs="Times New Roman"/>
                <w:lang w:eastAsia="uk-UA"/>
              </w:rPr>
              <w:t xml:space="preserve"> ліцеї № 4 Новоодеської міської ради Миколаївського району Миколаївської області</w:t>
            </w:r>
          </w:p>
          <w:p w:rsidR="006829BF" w:rsidRPr="00D86279" w:rsidRDefault="001B43BE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</w:rPr>
              <w:t xml:space="preserve"> За напрямом інвестування «Створення умов для реформи старшої профільної школи»</w:t>
            </w:r>
            <w:r w:rsidR="00D86279">
              <w:rPr>
                <w:rFonts w:ascii="Times New Roman" w:hAnsi="Times New Roman" w:cs="Times New Roman"/>
              </w:rPr>
              <w:t>.</w:t>
            </w:r>
          </w:p>
        </w:tc>
      </w:tr>
      <w:tr w:rsidR="006829BF" w:rsidRPr="006829BF" w:rsidTr="006829BF">
        <w:trPr>
          <w:trHeight w:val="3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2C" w:rsidRPr="00D86279" w:rsidRDefault="0079762C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 xml:space="preserve">Загальна вартість проєкту  – </w:t>
            </w:r>
            <w:r w:rsidR="00FB2C4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>5100089</w:t>
            </w:r>
            <w:r w:rsidRPr="00D86279">
              <w:rPr>
                <w:rFonts w:ascii="Times New Roman" w:hAnsi="Times New Roman" w:cs="Times New Roman"/>
                <w:b/>
                <w:bCs/>
                <w:color w:val="333333"/>
                <w:lang w:eastAsia="uk-UA"/>
              </w:rPr>
              <w:t xml:space="preserve"> грн.</w:t>
            </w:r>
          </w:p>
          <w:p w:rsidR="006829BF" w:rsidRPr="00D86279" w:rsidRDefault="006829BF" w:rsidP="00D86279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</w:p>
          <w:p w:rsidR="001B43BE" w:rsidRPr="00D86279" w:rsidRDefault="006829BF" w:rsidP="00D86279">
            <w:pPr>
              <w:pStyle w:val="a4"/>
              <w:rPr>
                <w:rFonts w:ascii="Times New Roman" w:hAnsi="Times New Roman" w:cs="Times New Roman"/>
                <w:color w:val="333333"/>
                <w:lang w:eastAsia="uk-UA"/>
              </w:rPr>
            </w:pPr>
            <w:r w:rsidRPr="00D86279">
              <w:rPr>
                <w:rFonts w:ascii="Times New Roman" w:hAnsi="Times New Roman" w:cs="Times New Roman"/>
                <w:lang w:eastAsia="uk-UA"/>
              </w:rPr>
              <w:t xml:space="preserve">Створення освітнього простору у межах реформи "Нова українська школа" - </w:t>
            </w:r>
            <w:proofErr w:type="spellStart"/>
            <w:r w:rsidRPr="00D86279">
              <w:rPr>
                <w:rFonts w:ascii="Times New Roman" w:hAnsi="Times New Roman" w:cs="Times New Roman"/>
                <w:lang w:eastAsia="uk-UA"/>
              </w:rPr>
              <w:t>Новоодеська</w:t>
            </w:r>
            <w:proofErr w:type="spellEnd"/>
            <w:r w:rsidRPr="00D86279">
              <w:rPr>
                <w:rFonts w:ascii="Times New Roman" w:hAnsi="Times New Roman" w:cs="Times New Roman"/>
                <w:lang w:eastAsia="uk-UA"/>
              </w:rPr>
              <w:t xml:space="preserve"> міська територіальна громада</w:t>
            </w:r>
            <w:r w:rsidR="00547570" w:rsidRPr="00D86279">
              <w:rPr>
                <w:rFonts w:ascii="Times New Roman" w:hAnsi="Times New Roman" w:cs="Times New Roman"/>
                <w:color w:val="333333"/>
                <w:lang w:eastAsia="uk-UA"/>
              </w:rPr>
              <w:t xml:space="preserve"> </w:t>
            </w:r>
            <w:r w:rsidR="0079762C" w:rsidRPr="00D86279">
              <w:rPr>
                <w:rFonts w:ascii="Times New Roman" w:hAnsi="Times New Roman" w:cs="Times New Roman"/>
                <w:color w:val="333333"/>
                <w:lang w:eastAsia="uk-UA"/>
              </w:rPr>
              <w:t xml:space="preserve"> </w:t>
            </w:r>
          </w:p>
          <w:p w:rsidR="006829BF" w:rsidRPr="00D86279" w:rsidRDefault="007901C3" w:rsidP="00B375E3">
            <w:pPr>
              <w:pStyle w:val="a4"/>
              <w:rPr>
                <w:rFonts w:ascii="Times New Roman" w:hAnsi="Times New Roman" w:cs="Times New Roman"/>
                <w:lang w:eastAsia="uk-UA"/>
              </w:rPr>
            </w:pPr>
            <w:r w:rsidRPr="00D86279">
              <w:rPr>
                <w:rFonts w:ascii="Times New Roman" w:hAnsi="Times New Roman" w:cs="Times New Roman"/>
                <w:color w:val="333333"/>
                <w:lang w:eastAsia="uk-UA"/>
              </w:rPr>
              <w:t>За напрямом інвестування «</w:t>
            </w:r>
            <w:r w:rsidR="00547570" w:rsidRPr="00D86279">
              <w:rPr>
                <w:rFonts w:ascii="Times New Roman" w:hAnsi="Times New Roman" w:cs="Times New Roman"/>
                <w:color w:val="333333"/>
                <w:lang w:eastAsia="uk-UA"/>
              </w:rPr>
              <w:t xml:space="preserve">Забезпечення якісної, сучасної та доступної загальної  середньої освіти «Нова українська школа» </w:t>
            </w:r>
            <w:r w:rsidR="00B375E3">
              <w:rPr>
                <w:rFonts w:ascii="Times New Roman" w:hAnsi="Times New Roman" w:cs="Times New Roman"/>
                <w:color w:val="333333"/>
                <w:lang w:eastAsia="uk-UA"/>
              </w:rPr>
              <w:t>-</w:t>
            </w:r>
            <w:r w:rsidR="00547570" w:rsidRPr="00D86279">
              <w:rPr>
                <w:rFonts w:ascii="Times New Roman" w:hAnsi="Times New Roman" w:cs="Times New Roman"/>
                <w:color w:val="333333"/>
                <w:lang w:eastAsia="uk-UA"/>
              </w:rPr>
              <w:t xml:space="preserve"> оновлення навчального обладнання, створення сучасного освітнього середовища відповідно до вимог НУШ.</w:t>
            </w:r>
          </w:p>
        </w:tc>
      </w:tr>
    </w:tbl>
    <w:p w:rsidR="00691291" w:rsidRPr="00691291" w:rsidRDefault="00691291" w:rsidP="00691291">
      <w:pPr>
        <w:spacing w:before="22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uk-UA"/>
        </w:rPr>
        <w:t xml:space="preserve">Загальна вартість проєкту  – </w:t>
      </w:r>
      <w:r w:rsidR="00FB2C49" w:rsidRPr="005424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uk-UA"/>
        </w:rPr>
        <w:t>3728901</w:t>
      </w:r>
      <w:r w:rsidRPr="006912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uk-UA"/>
        </w:rPr>
        <w:t xml:space="preserve"> грн.</w:t>
      </w:r>
    </w:p>
    <w:p w:rsidR="005424F4" w:rsidRDefault="005424F4" w:rsidP="00691291">
      <w:pPr>
        <w:spacing w:before="22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uk-UA"/>
        </w:rPr>
      </w:pPr>
    </w:p>
    <w:p w:rsidR="003B7AA9" w:rsidRPr="00691291" w:rsidRDefault="00691291" w:rsidP="00691291">
      <w:pPr>
        <w:spacing w:before="2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uk-UA"/>
        </w:rPr>
        <w:t>Разом за напрямом "Освіта і наука" -     </w:t>
      </w:r>
      <w:r w:rsidR="00942C1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uk-UA"/>
        </w:rPr>
        <w:t>30535793</w:t>
      </w:r>
      <w:r w:rsidRPr="0069129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uk-UA"/>
        </w:rPr>
        <w:t xml:space="preserve"> грн.</w:t>
      </w:r>
    </w:p>
    <w:p w:rsidR="00691291" w:rsidRDefault="00691291" w:rsidP="00691291">
      <w:pPr>
        <w:spacing w:before="22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912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B375E3" w:rsidRPr="00691291" w:rsidRDefault="00B375E3" w:rsidP="00691291">
      <w:pPr>
        <w:spacing w:before="2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 xml:space="preserve">За результатами експертної оцінки, проведеної із застосуванням системи  DREAM, за всіма зазначеними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проєктами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визначено статус </w:t>
      </w: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«Рекомендовано до включення до ЄПП»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Таким чином,  запропонований проєкт Єдиного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проєктного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 портфелю здійснення публічних інвестицій  територіальної громади на 2026 рік є збалансованим за напрямами, відповідає стратегічним цілям розвитку громади, а також критеріям публічних інвестицій у відповідних секторах.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Пропонується схвалити Єдиний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проєктний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портфель громади на 2026 рік для забезпечення можливостей його фінансування  та подальшого подання в установленому порядку до системи  DREAM, згідно з додатком (додається).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691291" w:rsidRPr="00691291" w:rsidRDefault="00691291" w:rsidP="00691291">
      <w:pPr>
        <w:spacing w:before="22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ВИСТУПИЛИ:</w:t>
      </w:r>
    </w:p>
    <w:p w:rsidR="00691291" w:rsidRPr="00691291" w:rsidRDefault="00691291" w:rsidP="00691291">
      <w:pPr>
        <w:spacing w:before="220" w:line="240" w:lineRule="auto"/>
        <w:ind w:right="16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Литвиненко Тетяна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-  начальниця фінансового управління, яка запропонувала підтримати  запропоновані 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проєкти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включити їх в Єдиний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проєктний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портфель здійснення публічних інвестицій громади на 2026 рік.</w:t>
      </w:r>
    </w:p>
    <w:p w:rsidR="00691291" w:rsidRPr="00691291" w:rsidRDefault="00691291" w:rsidP="00691291">
      <w:pPr>
        <w:spacing w:before="220" w:line="240" w:lineRule="auto"/>
        <w:ind w:right="16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Бітіньш</w:t>
      </w:r>
      <w:proofErr w:type="spellEnd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Руслан</w:t>
      </w:r>
      <w:r w:rsidR="005424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депутат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Новоодеськоі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міської ради, яка відзначив  важливість реформи управління публічними інвестиціями, адже її провадження забезпечує підвищення ефективності використання бюджетних коштів, прозорість усіх етапів відбору та реалізації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проєктів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а також посилює спроможність громади залучати додаткові ресурси. Він  наголосив, що застосування державної системи DREAM дає змогу уніфікувати підходи до планування, оцінювання та моніторингу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проєктів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сприяє підвищенню якості управлінських рішень у сфері інвестицій.</w:t>
      </w:r>
    </w:p>
    <w:p w:rsidR="00691291" w:rsidRPr="00691291" w:rsidRDefault="00691291" w:rsidP="00691291">
      <w:pPr>
        <w:spacing w:before="220" w:line="240" w:lineRule="auto"/>
        <w:ind w:right="16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 результатами обговорення запропонувал</w:t>
      </w:r>
      <w:r w:rsidR="007544E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и</w:t>
      </w: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схвалити подані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проєкти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включити їх до Єдиного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проєктного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портфеля здійснення публічних інвестицій громади на 2026 рік.</w:t>
      </w:r>
    </w:p>
    <w:p w:rsidR="00691291" w:rsidRPr="00691291" w:rsidRDefault="00691291" w:rsidP="00691291">
      <w:pPr>
        <w:spacing w:before="220" w:line="240" w:lineRule="auto"/>
        <w:ind w:right="16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ВИРІШИЛИ:</w:t>
      </w:r>
    </w:p>
    <w:p w:rsidR="00691291" w:rsidRPr="00691291" w:rsidRDefault="00691291" w:rsidP="00691291">
      <w:pPr>
        <w:spacing w:before="220" w:line="240" w:lineRule="auto"/>
        <w:ind w:right="16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1.Схвалити  Єдиний 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проєктний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 портфель здійснення публічних інвестицій  </w:t>
      </w:r>
      <w:proofErr w:type="spellStart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Новоодеськоі</w:t>
      </w:r>
      <w:proofErr w:type="spellEnd"/>
      <w:r w:rsidRPr="006912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міської територіальної громади на 2026 рік згідно з додатком (додається).</w:t>
      </w:r>
    </w:p>
    <w:p w:rsidR="00691291" w:rsidRPr="00691291" w:rsidRDefault="00691291" w:rsidP="00691291">
      <w:pPr>
        <w:spacing w:before="220" w:line="240" w:lineRule="auto"/>
        <w:ind w:right="16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691291" w:rsidRPr="00691291" w:rsidRDefault="00691291" w:rsidP="00691291">
      <w:pPr>
        <w:spacing w:before="22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Голова Інвестиційної ради      </w:t>
      </w: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ab/>
        <w:t xml:space="preserve">                                            Олександр </w:t>
      </w:r>
      <w:proofErr w:type="spellStart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Поляков</w:t>
      </w:r>
      <w:proofErr w:type="spellEnd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    </w:t>
      </w:r>
    </w:p>
    <w:p w:rsidR="00691291" w:rsidRPr="00691291" w:rsidRDefault="00691291" w:rsidP="00691291">
      <w:pPr>
        <w:spacing w:before="22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691291" w:rsidRPr="00691291" w:rsidRDefault="00691291" w:rsidP="00691291">
      <w:pPr>
        <w:spacing w:before="22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Секретар Інвестиційної ради                                             </w:t>
      </w: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ab/>
      </w:r>
      <w:proofErr w:type="spellStart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Брусенко</w:t>
      </w:r>
      <w:proofErr w:type="spellEnd"/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</w:t>
      </w:r>
      <w:r w:rsidR="004D4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Олена </w:t>
      </w:r>
    </w:p>
    <w:p w:rsidR="00691291" w:rsidRPr="00691291" w:rsidRDefault="00691291" w:rsidP="0069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1291" w:rsidRPr="00691291" w:rsidRDefault="00691291" w:rsidP="00691291">
      <w:pPr>
        <w:spacing w:before="220" w:after="22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               </w:t>
      </w:r>
    </w:p>
    <w:p w:rsidR="00691291" w:rsidRPr="00691291" w:rsidRDefault="00691291" w:rsidP="00691291">
      <w:pPr>
        <w:spacing w:before="220" w:after="22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23952" w:rsidRDefault="00223952" w:rsidP="00223952">
      <w:pPr>
        <w:spacing w:before="220" w:after="220" w:line="240" w:lineRule="auto"/>
        <w:ind w:firstLine="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223952" w:rsidRDefault="00223952" w:rsidP="00223952">
      <w:pPr>
        <w:spacing w:before="220" w:after="220" w:line="240" w:lineRule="auto"/>
        <w:ind w:firstLine="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223952" w:rsidRDefault="00223952" w:rsidP="00223952">
      <w:pPr>
        <w:spacing w:before="220" w:after="220" w:line="240" w:lineRule="auto"/>
        <w:ind w:firstLine="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223952" w:rsidRDefault="00223952" w:rsidP="00223952">
      <w:pPr>
        <w:spacing w:before="220" w:after="220" w:line="240" w:lineRule="auto"/>
        <w:ind w:firstLine="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223952" w:rsidRDefault="00223952" w:rsidP="00223952">
      <w:pPr>
        <w:spacing w:before="220" w:after="220" w:line="240" w:lineRule="auto"/>
        <w:ind w:firstLine="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223952" w:rsidRPr="00223952" w:rsidRDefault="00223952" w:rsidP="0022395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23952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Перелік публічних інвестиційних </w:t>
      </w:r>
      <w:proofErr w:type="spellStart"/>
      <w:r w:rsidRPr="00223952">
        <w:rPr>
          <w:rFonts w:ascii="Times New Roman" w:hAnsi="Times New Roman" w:cs="Times New Roman"/>
          <w:b/>
          <w:sz w:val="24"/>
          <w:szCs w:val="24"/>
          <w:lang w:eastAsia="uk-UA"/>
        </w:rPr>
        <w:t>проєктів</w:t>
      </w:r>
      <w:proofErr w:type="spellEnd"/>
      <w:r w:rsidRPr="00223952">
        <w:rPr>
          <w:rFonts w:ascii="Times New Roman" w:hAnsi="Times New Roman" w:cs="Times New Roman"/>
          <w:b/>
          <w:sz w:val="24"/>
          <w:szCs w:val="24"/>
          <w:lang w:eastAsia="uk-UA"/>
        </w:rPr>
        <w:t>, включених до</w:t>
      </w:r>
    </w:p>
    <w:p w:rsidR="00223952" w:rsidRPr="00223952" w:rsidRDefault="00223952" w:rsidP="0022395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23952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Єдиного </w:t>
      </w:r>
      <w:proofErr w:type="spellStart"/>
      <w:r w:rsidRPr="00223952">
        <w:rPr>
          <w:rFonts w:ascii="Times New Roman" w:hAnsi="Times New Roman" w:cs="Times New Roman"/>
          <w:b/>
          <w:sz w:val="24"/>
          <w:szCs w:val="24"/>
          <w:lang w:eastAsia="uk-UA"/>
        </w:rPr>
        <w:t>проєктного</w:t>
      </w:r>
      <w:proofErr w:type="spellEnd"/>
      <w:r w:rsidRPr="00223952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портфелю публічних інвестицій</w:t>
      </w:r>
    </w:p>
    <w:p w:rsidR="00223952" w:rsidRPr="00223952" w:rsidRDefault="004A1B09" w:rsidP="0022395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Новоодеської міської </w:t>
      </w:r>
      <w:r w:rsidR="00223952" w:rsidRPr="00223952">
        <w:rPr>
          <w:rFonts w:ascii="Times New Roman" w:hAnsi="Times New Roman" w:cs="Times New Roman"/>
          <w:b/>
          <w:sz w:val="24"/>
          <w:szCs w:val="24"/>
          <w:lang w:eastAsia="uk-UA"/>
        </w:rPr>
        <w:t>територіальної громади на 2026 рік</w:t>
      </w:r>
    </w:p>
    <w:p w:rsidR="00223952" w:rsidRPr="00691291" w:rsidRDefault="00223952" w:rsidP="00223952">
      <w:pPr>
        <w:spacing w:before="220" w:after="220" w:line="240" w:lineRule="auto"/>
        <w:ind w:firstLine="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2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903"/>
        <w:gridCol w:w="7060"/>
      </w:tblGrid>
      <w:tr w:rsidR="00223952" w:rsidRPr="00691291" w:rsidTr="00D813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223952" w:rsidP="00D813C0">
            <w:pPr>
              <w:spacing w:before="300" w:after="3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23952" w:rsidRPr="00691291" w:rsidRDefault="00223952" w:rsidP="00D813C0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Код проєкту в системі DREAM</w:t>
            </w:r>
          </w:p>
          <w:p w:rsidR="00691291" w:rsidRPr="00691291" w:rsidRDefault="00223952" w:rsidP="00D813C0">
            <w:pPr>
              <w:spacing w:before="460" w:after="3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223952" w:rsidP="00D813C0">
            <w:pPr>
              <w:spacing w:before="300" w:after="3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2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Назва проєкту</w:t>
            </w:r>
          </w:p>
        </w:tc>
      </w:tr>
      <w:tr w:rsidR="00A422AF" w:rsidRPr="00691291" w:rsidTr="00C07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A422AF" w:rsidP="00D813C0">
            <w:pPr>
              <w:spacing w:before="300" w:after="3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2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300426-8F21B437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 самопливної мережі каналізації вздовж вул. Центральної від </w:t>
            </w:r>
            <w:proofErr w:type="spellStart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Новоодеського</w:t>
            </w:r>
            <w:proofErr w:type="spellEnd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ліцею № 1 в бік вул. </w:t>
            </w:r>
            <w:proofErr w:type="spellStart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Кухарєва</w:t>
            </w:r>
            <w:proofErr w:type="spellEnd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підключенням в існуючу мережу каналізації в місті Нова Одеса Миколаївської області.</w:t>
            </w:r>
          </w:p>
        </w:tc>
      </w:tr>
      <w:tr w:rsidR="00A422AF" w:rsidRPr="00691291" w:rsidTr="00C07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A422AF" w:rsidP="00D813C0">
            <w:pPr>
              <w:spacing w:before="300" w:after="3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2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050226-A5B43918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Дооснащення</w:t>
            </w:r>
            <w:proofErr w:type="spellEnd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кабінету "Захист України" в </w:t>
            </w:r>
            <w:proofErr w:type="spellStart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Новоодеському</w:t>
            </w:r>
            <w:proofErr w:type="spellEnd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ліцеї № 4 (Академічний ліцей з 01.09.2027 року)</w:t>
            </w:r>
          </w:p>
        </w:tc>
      </w:tr>
      <w:tr w:rsidR="00A422AF" w:rsidRPr="00691291" w:rsidTr="00C07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A422AF" w:rsidP="00D813C0">
            <w:pPr>
              <w:spacing w:before="300" w:after="3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2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110226-15B559EF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Створення академічного ліцею в </w:t>
            </w:r>
            <w:proofErr w:type="spellStart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Новоодеській</w:t>
            </w:r>
            <w:proofErr w:type="spellEnd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міській територіальній громаді.</w:t>
            </w:r>
          </w:p>
        </w:tc>
      </w:tr>
      <w:tr w:rsidR="00A422AF" w:rsidRPr="00691291" w:rsidTr="00C07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A422AF" w:rsidP="00D813C0">
            <w:pPr>
              <w:spacing w:before="300" w:after="3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2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120226-1DD3A18E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Створення </w:t>
            </w:r>
            <w:proofErr w:type="spellStart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безбар'єрного</w:t>
            </w:r>
            <w:proofErr w:type="spellEnd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простору в закладах загальної середньої освіти Новоодеської міської ради</w:t>
            </w:r>
          </w:p>
        </w:tc>
      </w:tr>
      <w:tr w:rsidR="00A422AF" w:rsidRPr="00691291" w:rsidTr="00C07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A422AF" w:rsidP="00D813C0">
            <w:pPr>
              <w:spacing w:before="300" w:after="3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2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210126-78055462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Придбання шкільного автобуса для забезпечення безперешкодного доступу до якісної освіти на території Новоодеської міської територіальної громади</w:t>
            </w:r>
          </w:p>
        </w:tc>
      </w:tr>
      <w:tr w:rsidR="00A422AF" w:rsidRPr="00691291" w:rsidTr="00C07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91291" w:rsidRPr="00691291" w:rsidRDefault="00A422AF" w:rsidP="00D813C0">
            <w:pPr>
              <w:spacing w:before="300" w:after="30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2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230426-18477B5E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422AF" w:rsidRPr="00A422AF" w:rsidRDefault="00A422AF" w:rsidP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Сучасний освітній простір в </w:t>
            </w:r>
            <w:proofErr w:type="spellStart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Новоодеському</w:t>
            </w:r>
            <w:proofErr w:type="spellEnd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ліцеї № 4 Новоодеської міської ради Миколаївського району Миколаївської області</w:t>
            </w:r>
          </w:p>
        </w:tc>
      </w:tr>
      <w:tr w:rsidR="00A422AF" w:rsidRPr="00691291" w:rsidTr="00C07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22AF" w:rsidRPr="00A422AF" w:rsidRDefault="00A422AF" w:rsidP="00D813C0">
            <w:pPr>
              <w:spacing w:before="300" w:after="300" w:line="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422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310326-0C2F9062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22AF" w:rsidRPr="00A422AF" w:rsidRDefault="00A4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Створення освітнього простору у межах реформи "Нова українська школа" - </w:t>
            </w:r>
            <w:proofErr w:type="spellStart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Новоодеська</w:t>
            </w:r>
            <w:proofErr w:type="spellEnd"/>
            <w:r w:rsidRPr="00A4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міська територіальна громада</w:t>
            </w:r>
          </w:p>
        </w:tc>
      </w:tr>
    </w:tbl>
    <w:p w:rsidR="00A078BA" w:rsidRDefault="00A078BA"/>
    <w:sectPr w:rsidR="00A078BA" w:rsidSect="00A0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91291"/>
    <w:rsid w:val="001378FD"/>
    <w:rsid w:val="00192B27"/>
    <w:rsid w:val="001B43BE"/>
    <w:rsid w:val="001E5CBA"/>
    <w:rsid w:val="00211B9C"/>
    <w:rsid w:val="00223952"/>
    <w:rsid w:val="003B7AA9"/>
    <w:rsid w:val="00497344"/>
    <w:rsid w:val="004A1B09"/>
    <w:rsid w:val="004D4604"/>
    <w:rsid w:val="005424F4"/>
    <w:rsid w:val="00547570"/>
    <w:rsid w:val="006829BF"/>
    <w:rsid w:val="00691291"/>
    <w:rsid w:val="006F78CC"/>
    <w:rsid w:val="007544E3"/>
    <w:rsid w:val="00783241"/>
    <w:rsid w:val="007901C3"/>
    <w:rsid w:val="0079762C"/>
    <w:rsid w:val="00942C12"/>
    <w:rsid w:val="00973685"/>
    <w:rsid w:val="009E0DB7"/>
    <w:rsid w:val="00A078BA"/>
    <w:rsid w:val="00A422AF"/>
    <w:rsid w:val="00AF67E9"/>
    <w:rsid w:val="00B375E3"/>
    <w:rsid w:val="00D86279"/>
    <w:rsid w:val="00FA1A43"/>
    <w:rsid w:val="00FB2C49"/>
    <w:rsid w:val="00FC0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91291"/>
  </w:style>
  <w:style w:type="paragraph" w:styleId="a4">
    <w:name w:val="No Spacing"/>
    <w:uiPriority w:val="1"/>
    <w:qFormat/>
    <w:rsid w:val="004D46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5</Pages>
  <Words>6278</Words>
  <Characters>3580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2026-06-01T14:06:00Z</cp:lastPrinted>
  <dcterms:created xsi:type="dcterms:W3CDTF">2026-06-01T13:38:00Z</dcterms:created>
  <dcterms:modified xsi:type="dcterms:W3CDTF">2026-06-02T07:25:00Z</dcterms:modified>
</cp:coreProperties>
</file>