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7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1C5197" w:rsidRPr="001C5197" w:rsidTr="001C5197">
        <w:trPr>
          <w:tblCellSpacing w:w="7" w:type="dxa"/>
        </w:trPr>
        <w:tc>
          <w:tcPr>
            <w:tcW w:w="620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C5197" w:rsidRPr="001C5197" w:rsidRDefault="001C5197" w:rsidP="008B394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r w:rsidR="008B394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погодження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CD0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середньострокового плану розвитку комунального некомерційного підприємства</w:t>
            </w:r>
            <w:r w:rsidR="00CF47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«Новоодеська багатопрофільна лікарня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» Новоодеської міської ради </w:t>
            </w:r>
            <w:r w:rsidR="006017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на </w:t>
            </w:r>
            <w:r w:rsidR="00884B9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2026 -2028</w:t>
            </w:r>
            <w:r w:rsidR="00CF47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роки</w:t>
            </w:r>
            <w:r w:rsidR="00CD0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(1-3роки)</w:t>
            </w:r>
          </w:p>
        </w:tc>
      </w:tr>
    </w:tbl>
    <w:p w:rsidR="00282C77" w:rsidRDefault="00282C77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C5197" w:rsidRPr="001C5197" w:rsidRDefault="000156A5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еруючись ст.</w:t>
      </w:r>
      <w:r w:rsidR="000F18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ст.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18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32</w:t>
      </w:r>
      <w:r w:rsid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52, 59,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="00C204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</w:t>
      </w:r>
      <w:r w:rsidR="00CF47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постанови Кабінету Міністрів України від 28.02.2023 №174 «Деякі питання організації спроможної мережі закладів охорони здоров’я»</w:t>
      </w:r>
      <w:r w:rsidR="000264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CD07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наказу МОЗ від 31.07.2020р. № 1742 «</w:t>
      </w:r>
      <w:r w:rsidR="00CD073D" w:rsidRPr="00CD073D">
        <w:rPr>
          <w:rFonts w:ascii="Times New Roman" w:hAnsi="Times New Roman" w:cs="Times New Roman"/>
          <w:sz w:val="26"/>
          <w:szCs w:val="26"/>
        </w:rPr>
        <w:t>Про затвердження Типової форми плану розвитку закладу охорони здоров’я</w:t>
      </w:r>
      <w:r w:rsidR="00CD073D">
        <w:rPr>
          <w:rFonts w:ascii="Times New Roman" w:hAnsi="Times New Roman" w:cs="Times New Roman"/>
          <w:sz w:val="26"/>
          <w:szCs w:val="26"/>
        </w:rPr>
        <w:t>»</w:t>
      </w:r>
      <w:r w:rsidR="00CD07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татуту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омунального некомерційного підприємства «</w:t>
      </w:r>
      <w:r w:rsidR="00CF47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Новоодеська багатопрофільна лікарня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ської міської ради,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мет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ою підвищення рівня медичного обслуговування, впровадження нових підходів щодо організації роботи </w:t>
      </w:r>
      <w:r w:rsidR="005A57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підприємства 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фінансового забезпечення, підвищення ефективності використання бюджетних коштів,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виконавчий комітет 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ої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</w:p>
    <w:p w:rsidR="001C5197" w:rsidRDefault="001C5197" w:rsidP="00282C77">
      <w:pPr>
        <w:spacing w:before="30" w:after="30" w:line="36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C51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ВИРІШИВ:</w:t>
      </w:r>
    </w:p>
    <w:p w:rsidR="00282C77" w:rsidRPr="001C5197" w:rsidRDefault="00282C77" w:rsidP="00282C77">
      <w:pPr>
        <w:spacing w:before="30" w:after="30" w:line="36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1C5197" w:rsidRPr="001C5197" w:rsidRDefault="001C5197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1. </w:t>
      </w:r>
      <w:r w:rsidR="008B394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Погодити</w:t>
      </w:r>
      <w:r w:rsidR="006141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D07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середньостроковий</w:t>
      </w:r>
      <w:r w:rsidR="006141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план</w:t>
      </w:r>
      <w:r w:rsidR="00614137" w:rsidRPr="006141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розвитку </w:t>
      </w:r>
      <w:r w:rsidR="00CD07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комунального некомерційного підприємства</w:t>
      </w:r>
      <w:r w:rsidR="00614137" w:rsidRPr="006141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«Новоодеська багатопрофільна лікарня» Новооде</w:t>
      </w:r>
      <w:r w:rsidR="00884B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ської міської ради на 2026 -2028</w:t>
      </w:r>
      <w:r w:rsidR="00614137" w:rsidRPr="006141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роки</w:t>
      </w:r>
      <w:r w:rsidR="00CD073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(1-3роки)</w:t>
      </w:r>
      <w:r w:rsidR="00015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що </w:t>
      </w:r>
      <w:r w:rsidRPr="000156A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додаєтьс</w:t>
      </w:r>
      <w:r w:rsidRPr="001C51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я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1C5197" w:rsidRPr="00282C77" w:rsidRDefault="000156A5" w:rsidP="00282C7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77">
        <w:rPr>
          <w:rFonts w:ascii="Times New Roman" w:hAnsi="Times New Roman" w:cs="Times New Roman"/>
          <w:sz w:val="26"/>
          <w:szCs w:val="26"/>
        </w:rPr>
        <w:t>2</w:t>
      </w:r>
      <w:r w:rsidR="001C5197" w:rsidRPr="00282C77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рішення покласти на </w:t>
      </w:r>
      <w:r w:rsidR="00282C77" w:rsidRPr="00282C77">
        <w:rPr>
          <w:rFonts w:ascii="Times New Roman" w:hAnsi="Times New Roman" w:cs="Times New Roman"/>
          <w:sz w:val="26"/>
          <w:szCs w:val="26"/>
        </w:rPr>
        <w:t>заступника міського г</w:t>
      </w:r>
      <w:r w:rsidRPr="00282C77">
        <w:rPr>
          <w:rFonts w:ascii="Times New Roman" w:hAnsi="Times New Roman" w:cs="Times New Roman"/>
          <w:sz w:val="26"/>
          <w:szCs w:val="26"/>
        </w:rPr>
        <w:t>олови Злу С.Л.</w:t>
      </w:r>
    </w:p>
    <w:p w:rsidR="00614137" w:rsidRDefault="00614137">
      <w:pPr>
        <w:rPr>
          <w:rFonts w:ascii="Times New Roman" w:hAnsi="Times New Roman" w:cs="Times New Roman"/>
          <w:b/>
          <w:sz w:val="26"/>
          <w:szCs w:val="26"/>
        </w:rPr>
      </w:pPr>
    </w:p>
    <w:p w:rsidR="001C4843" w:rsidRDefault="001C5197">
      <w:pPr>
        <w:rPr>
          <w:rFonts w:ascii="Times New Roman" w:hAnsi="Times New Roman" w:cs="Times New Roman"/>
          <w:b/>
          <w:sz w:val="26"/>
          <w:szCs w:val="26"/>
        </w:rPr>
      </w:pPr>
      <w:r w:rsidRPr="001C5197">
        <w:rPr>
          <w:rFonts w:ascii="Times New Roman" w:hAnsi="Times New Roman" w:cs="Times New Roman"/>
          <w:b/>
          <w:sz w:val="26"/>
          <w:szCs w:val="26"/>
        </w:rPr>
        <w:t xml:space="preserve">Міський голова                                                              </w:t>
      </w:r>
      <w:r w:rsidR="00282C7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C5197">
        <w:rPr>
          <w:rFonts w:ascii="Times New Roman" w:hAnsi="Times New Roman" w:cs="Times New Roman"/>
          <w:b/>
          <w:sz w:val="26"/>
          <w:szCs w:val="26"/>
        </w:rPr>
        <w:t xml:space="preserve">   Олександр ПОЛЯКОВ</w:t>
      </w: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p w:rsidR="00792239" w:rsidRDefault="00792239">
      <w:pPr>
        <w:rPr>
          <w:rFonts w:ascii="Times New Roman" w:hAnsi="Times New Roman" w:cs="Times New Roman"/>
          <w:b/>
          <w:sz w:val="26"/>
          <w:szCs w:val="26"/>
        </w:rPr>
        <w:sectPr w:rsidR="00792239" w:rsidSect="001C5197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tbl>
      <w:tblPr>
        <w:tblW w:w="978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811"/>
      </w:tblGrid>
      <w:tr w:rsidR="00792239" w:rsidRPr="00680456" w:rsidTr="00531AE2">
        <w:tc>
          <w:tcPr>
            <w:tcW w:w="397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D6E4F0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792239" w:rsidRPr="009306CB" w:rsidRDefault="00792239" w:rsidP="00531AE2">
            <w:pPr>
              <w:spacing w:after="100"/>
              <w:ind w:left="-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ПОГОДЖЕНО</w:t>
            </w:r>
          </w:p>
          <w:p w:rsidR="00792239" w:rsidRPr="009306CB" w:rsidRDefault="00792239" w:rsidP="00531AE2">
            <w:pPr>
              <w:spacing w:after="10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792239" w:rsidRPr="009306CB" w:rsidRDefault="00792239" w:rsidP="00531AE2">
            <w:pPr>
              <w:spacing w:after="10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sz w:val="24"/>
                <w:szCs w:val="24"/>
              </w:rPr>
              <w:t>Новоодеської міської ради</w:t>
            </w:r>
          </w:p>
          <w:p w:rsidR="00792239" w:rsidRPr="009306CB" w:rsidRDefault="00792239" w:rsidP="00531AE2">
            <w:pPr>
              <w:spacing w:after="10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sz w:val="24"/>
                <w:szCs w:val="24"/>
              </w:rPr>
              <w:t>від _____________2026р. №_____</w:t>
            </w:r>
          </w:p>
          <w:p w:rsidR="00792239" w:rsidRPr="009306CB" w:rsidRDefault="00792239" w:rsidP="00531AE2">
            <w:pPr>
              <w:spacing w:after="100"/>
              <w:jc w:val="center"/>
              <w:rPr>
                <w:color w:val="333333"/>
                <w:sz w:val="24"/>
                <w:szCs w:val="24"/>
              </w:rPr>
            </w:pPr>
          </w:p>
          <w:p w:rsidR="00792239" w:rsidRPr="009306CB" w:rsidRDefault="00792239" w:rsidP="00531AE2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8" w:space="0" w:color="1F4E79"/>
              <w:left w:val="single" w:sz="8" w:space="0" w:color="1F4E79"/>
              <w:bottom w:val="single" w:sz="4" w:space="0" w:color="auto"/>
              <w:right w:val="single" w:sz="8" w:space="0" w:color="1F4E79"/>
            </w:tcBorders>
            <w:shd w:val="clear" w:color="auto" w:fill="D9E2F3" w:themeFill="accent1" w:themeFillTint="33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ЗАТВЕРДЖЕНО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лікар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«Новоодеська багатопрофільна лікарня» НМР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 Вадим МИЧКО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  <w:p w:rsidR="00792239" w:rsidRPr="009306CB" w:rsidRDefault="00792239" w:rsidP="00531AE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__________________________</w:t>
            </w:r>
          </w:p>
        </w:tc>
      </w:tr>
    </w:tbl>
    <w:p w:rsidR="00792239" w:rsidRPr="00680456" w:rsidRDefault="00792239" w:rsidP="00792239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spacing w:before="400" w:after="100"/>
        <w:jc w:val="center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b/>
          <w:bCs/>
          <w:color w:val="1F4E79"/>
          <w:sz w:val="24"/>
          <w:szCs w:val="24"/>
        </w:rPr>
        <w:t>СЕРЕДНЬОСТРОКОВИЙ ПЛАН РОЗВИТКУ</w:t>
      </w:r>
    </w:p>
    <w:p w:rsidR="00792239" w:rsidRPr="00680456" w:rsidRDefault="00792239" w:rsidP="00792239">
      <w:pPr>
        <w:shd w:val="clear" w:color="auto" w:fill="1F4E79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комунального некомерційного підприємства «Новоодеська багатопрофільна лікарня» Новоодеської міської ради</w:t>
      </w:r>
    </w:p>
    <w:p w:rsidR="00792239" w:rsidRPr="00F30A64" w:rsidRDefault="00792239" w:rsidP="00792239">
      <w:pPr>
        <w:spacing w:before="100" w:after="80"/>
        <w:jc w:val="center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  <w:color w:val="2E75B6"/>
        </w:rPr>
        <w:t>на 2</w:t>
      </w:r>
      <w:r w:rsidRPr="004A1145">
        <w:rPr>
          <w:rFonts w:ascii="Times New Roman" w:hAnsi="Times New Roman" w:cs="Times New Roman"/>
          <w:color w:val="2E75B6"/>
        </w:rPr>
        <w:t>026</w:t>
      </w:r>
      <w:r w:rsidRPr="00F30A64">
        <w:rPr>
          <w:rFonts w:ascii="Times New Roman" w:hAnsi="Times New Roman" w:cs="Times New Roman"/>
          <w:color w:val="2E75B6"/>
        </w:rPr>
        <w:t xml:space="preserve"> – 20</w:t>
      </w:r>
      <w:r w:rsidRPr="004A1145">
        <w:rPr>
          <w:rFonts w:ascii="Times New Roman" w:hAnsi="Times New Roman" w:cs="Times New Roman"/>
          <w:color w:val="2E75B6"/>
        </w:rPr>
        <w:t>2</w:t>
      </w:r>
      <w:r>
        <w:rPr>
          <w:rFonts w:ascii="Times New Roman" w:hAnsi="Times New Roman" w:cs="Times New Roman"/>
          <w:color w:val="2E75B6"/>
        </w:rPr>
        <w:t>8</w:t>
      </w:r>
      <w:r w:rsidRPr="00F30A64">
        <w:rPr>
          <w:rFonts w:ascii="Times New Roman" w:hAnsi="Times New Roman" w:cs="Times New Roman"/>
          <w:color w:val="2E75B6"/>
        </w:rPr>
        <w:t xml:space="preserve"> роки (1-3 роки)</w:t>
      </w:r>
    </w:p>
    <w:p w:rsidR="00792239" w:rsidRPr="00F30A64" w:rsidRDefault="00792239" w:rsidP="00792239">
      <w:pPr>
        <w:spacing w:before="60" w:after="300"/>
        <w:jc w:val="center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  <w:i/>
          <w:iCs/>
          <w:color w:val="555555"/>
        </w:rPr>
        <w:t>(відповідно до Постанови КМУ № 174 від 28.02.2023 та Наказу МОЗ № 1742 від 31.07.2020)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259"/>
      </w:tblGrid>
      <w:tr w:rsidR="00792239" w:rsidRPr="00680456" w:rsidTr="00531AE2">
        <w:trPr>
          <w:trHeight w:val="20"/>
        </w:trPr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закладу: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некомерційне підприємство «Новоодеська багатопрофільна лікарня» Новоодеської міської ради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ЄДРПОУ: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01998294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Засновник (власник):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Новоодеська міська рада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Юридична адреса: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Миколаївська обл., Миколаївський р-н., м. Нова Одеса, вул. Шкільна, 38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Керівник закладу: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Мичко Вадим Миколайович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у спроможній мережі: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заклад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Госпітальний округ: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дії плану:</w:t>
            </w:r>
          </w:p>
        </w:tc>
        <w:tc>
          <w:tcPr>
            <w:tcW w:w="62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BF5B7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01.05.2026 по 31.12.2028</w:t>
            </w:r>
          </w:p>
        </w:tc>
      </w:tr>
    </w:tbl>
    <w:p w:rsidR="00792239" w:rsidRPr="00680456" w:rsidRDefault="00792239" w:rsidP="00792239">
      <w:pPr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br w:type="page"/>
      </w:r>
    </w:p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lastRenderedPageBreak/>
        <w:t>1. ЗАГАЛЬНА ХАРАКТЕРИСТИКА ЗАКЛАДУ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1.1. Інформація про заклад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00"/>
      </w:tblGrid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власності: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Організаційно-правова форма: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КНП (комунальне некомерційне підприємство)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Ліцензія на медичну практику: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Серія, №10/0710-М, дата видачі 07.10.2019, безстрокова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ліцензованих спеціальностей: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Провадження господарської діяльності з медичної практики за спеціальністю організація і управління охороною здоров’я. Дерматовенерологія, фтизіатрія, наркологія, отоларингологія, інфекційні хвороби, неврологія, психіатрія, хірургія, ортопедія і травматологія, терапевтична стоматологія, хірургічна стоматологія, стоматологія і ортопедична стоматологія, офтальмологія, терапія, педіатрія, ендоскопія, акушерство і гінекологія, ультразвукова діагностика, функціональна діагностика, рентгенологія, клінічна біохімія, клінічна лабораторна діагностика, патологічна анатомія, трансфузіологія, анестезіологія, загальна практика сімейна медицина. За спеціальності молодших спеціалістів з медичною освітою: сестринська справа, сестринська справа (операційна), акушерська справа, лабораторна справа (клініка). Рентгенологія, медична статистика. Ортопедична стоматологія. 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Фактична адреса: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Миколаївська обл., Миколаївський р-н., м. Нова Одеса, вул. Шкільна, 38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/ email / сайт: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(05167) 2-61-37, n.odesacrl@gmail.com, https://h24.ua/organizacia/8090-knp-novoodeska-bl-nmr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Історія реорганізації: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Підприємство створене рішенням Новоодеської районної ради від 21.02.2019 року №31 в порядку визначеному законом що регулює діяльність неприбуткової організії і є юридичною особою з часу державної реєстрації. Лікарня є правонаступником всіх прав та обов’язків КНП «Новоодеська ЦРЛ» Новоодеської районної ради </w:t>
            </w:r>
          </w:p>
        </w:tc>
      </w:tr>
    </w:tbl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792239">
        <w:rPr>
          <w:rFonts w:ascii="Times New Roman" w:hAnsi="Times New Roman" w:cs="Times New Roman"/>
          <w:lang w:val="uk-UA"/>
        </w:rPr>
        <w:lastRenderedPageBreak/>
        <w:t>1.2. Місія, цінності та візія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Місією </w:t>
      </w:r>
      <w:r w:rsidRPr="00680456">
        <w:rPr>
          <w:rFonts w:ascii="Times New Roman" w:hAnsi="Times New Roman" w:cs="Times New Roman"/>
          <w:sz w:val="24"/>
          <w:szCs w:val="24"/>
        </w:rPr>
        <w:t>діяльності Підприємства є медичне обслуговування населення, надання медичної допомоги та послуг в амбулаторних та стаціонарних умовах за видами медичної допомоги, лікарськими спеціальностями та спеціальностями молодших спеціалістів з медичною освітою відповідно згідно отриманої ліцензії на медичну практику та на основі професійної діяльності медичних (фармацевтичних) працівників.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680456">
        <w:rPr>
          <w:rFonts w:ascii="Times New Roman" w:hAnsi="Times New Roman" w:cs="Times New Roman"/>
          <w:b/>
          <w:bCs/>
          <w:sz w:val="24"/>
          <w:szCs w:val="24"/>
        </w:rPr>
        <w:t>Цінності: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Висока якість - прагнення надати найкращі можливі медичні послуги пацієнтам.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Безпека - надання безпечних медичних послуг відповідно до головної заповіді лікування «Не нашкодь».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Співчуття і повага - кожен пацієнт заслуговує на співчуття і повагу його особистості, незалежно від статі, віку, національності, мови спілкування, раси, добробуту.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Пацієнтоорієнтовність - сприйняття пацієнтів і їх сімей як партнерів у процесі лікування, сприяння пацієнтам в прагненні бути поінформованими учасниками в прийнятті рішень, які зачіпають їх здоров'я і благополуччя.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Професіоналізм - прагнення до безперервної самоосвіти кожного фахівця, спрямованість кращих знань, можливостей і досвіду на благо пацієнта на основі постійного розвитку.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Розвиток та інновації - універсальність надання медичної допомоги, лікарями заохочення впровадження інноваційних технологій діагностики і лікування, адаптованих для жителів нашого регіону.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Робота в команді - внесок кожного співробітника в досягнення поставлених завдань (індикаторів), дотримання медичної етики деонтології, вдосконалення якості медичних послуг.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Повага до гідності та особистості пацієнтів та працівників.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Відповідальність - необхідність, обов'язково  відповідати за свої дії.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Колегіальність - постійний самоаналіз і співробітництво, а також створення системи довіри на основі паритету відповідальності і обсягу роботи.</w:t>
      </w:r>
    </w:p>
    <w:p w:rsidR="00792239" w:rsidRPr="00680456" w:rsidRDefault="00792239" w:rsidP="00792239">
      <w:pPr>
        <w:numPr>
          <w:ilvl w:val="0"/>
          <w:numId w:val="2"/>
        </w:numPr>
        <w:spacing w:before="60" w:after="80" w:line="240" w:lineRule="auto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Відкритість - дотримання принципів чесності і порядності в особистісних і колективних діях.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Візія: досягнути найвищої якості в наданні медичної допомоги. Здорова нація - має майбутнє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</w:rPr>
        <w:t>1.3. Організаційна структура та перелік відділень</w:t>
      </w: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263"/>
        <w:gridCol w:w="2324"/>
        <w:gridCol w:w="1576"/>
        <w:gridCol w:w="2355"/>
      </w:tblGrid>
      <w:tr w:rsidR="00792239" w:rsidRPr="00680456" w:rsidTr="00531AE2">
        <w:trPr>
          <w:tblHeader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Назва підрозділу / відділення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Профіль (для мультипрофільних відділень зазначити  всі профілі ліжок)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Кількість ліжок за 2025 рік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Кількість лікарів за формою</w:t>
            </w:r>
          </w:p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Фізичних осіб/у тому  числі сумісників/фізичних осіб пенсіного віку</w:t>
            </w:r>
          </w:p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Приклад</w:t>
            </w:r>
          </w:p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98/12/31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Терапевтичне № 1 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Терапевтичний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Теравтичне відділення 2 для лікування Інфекційних хвороб 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1-1-0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Приймальне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Хірургічно-травматологічне мікс відділення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Хірургічний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Травматологічні ліжка  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Хірургічний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Гінекологічні ліжка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Хірургічний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1-1-1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Неврологічнні ліжка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Паліативні ліжка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3-3-1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Дитячі ліжка</w:t>
            </w:r>
          </w:p>
        </w:tc>
        <w:tc>
          <w:tcPr>
            <w:tcW w:w="23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</w:t>
            </w:r>
          </w:p>
        </w:tc>
        <w:tc>
          <w:tcPr>
            <w:tcW w:w="18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1-0-0</w:t>
            </w:r>
          </w:p>
        </w:tc>
      </w:tr>
    </w:tbl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  <w:lang w:val="uk-UA"/>
        </w:rPr>
      </w:pPr>
      <w:r w:rsidRPr="00680456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  <w:t>А</w:t>
      </w:r>
      <w:r w:rsidRPr="00680456">
        <w:rPr>
          <w:rFonts w:ascii="Times New Roman" w:hAnsi="Times New Roman" w:cs="Times New Roman"/>
          <w:sz w:val="24"/>
          <w:szCs w:val="24"/>
        </w:rPr>
        <w:t>наліз використання ліжкового фонду</w:t>
      </w:r>
      <w:r w:rsidRPr="00680456">
        <w:rPr>
          <w:rFonts w:ascii="Times New Roman" w:hAnsi="Times New Roman" w:cs="Times New Roman"/>
          <w:sz w:val="24"/>
          <w:szCs w:val="24"/>
          <w:lang w:val="uk-UA"/>
        </w:rPr>
        <w:t xml:space="preserve"> за 2025 рік</w:t>
      </w:r>
    </w:p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Segoe UI Symbol" w:hAnsi="Segoe UI Symbol" w:cs="Segoe UI Symbol"/>
          <w:i/>
          <w:iCs/>
          <w:color w:val="555555"/>
          <w:sz w:val="24"/>
          <w:szCs w:val="24"/>
        </w:rPr>
        <w:t>📌</w:t>
      </w:r>
      <w:r w:rsidRPr="006804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За кожним профілем: кількість ліжок, госпіталізації, середня тривалість, зайнятість ліжка, летальність</w:t>
      </w:r>
    </w:p>
    <w:tbl>
      <w:tblPr>
        <w:tblW w:w="7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943"/>
        <w:gridCol w:w="1003"/>
        <w:gridCol w:w="1074"/>
        <w:gridCol w:w="1582"/>
        <w:gridCol w:w="1324"/>
      </w:tblGrid>
      <w:tr w:rsidR="00792239" w:rsidRPr="00680456" w:rsidTr="00531AE2">
        <w:trPr>
          <w:tblHeader/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Профіль ліжок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К-сть ліжок (факт)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Госпіт. (рік)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Серед. тривал. (діб)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Летальність (%)</w:t>
            </w: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Алергологія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Анестезіологія (інтенсивна терапія в невідкладних станах)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Гастроентерологія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Дерматологія та венерологія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Інфекційні хвороби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Кардіологія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Неврологія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310.6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Нефрологія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Онкологія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Ортопедія і травматологія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Отоларингологія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Офтальмологія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Паліативна медична допомога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165.9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Педіатрія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Пульмонологія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Ревматологія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243.6</w:t>
            </w: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Урологія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19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Хірургія (загальна та спеціалізована)</w:t>
            </w:r>
          </w:p>
        </w:tc>
        <w:tc>
          <w:tcPr>
            <w:tcW w:w="10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2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259.4</w:t>
            </w:r>
          </w:p>
        </w:tc>
      </w:tr>
    </w:tbl>
    <w:p w:rsidR="00792239" w:rsidRPr="00680456" w:rsidRDefault="00792239" w:rsidP="00792239">
      <w:pPr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1.4. Перелік корпусів, будівель та споруд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2535"/>
        <w:gridCol w:w="1374"/>
        <w:gridCol w:w="2835"/>
        <w:gridCol w:w="1773"/>
      </w:tblGrid>
      <w:tr w:rsidR="00792239" w:rsidRPr="00680456" w:rsidTr="00531AE2">
        <w:trPr>
          <w:tblHeader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Назва об'єкту / адреса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Площа (кв.м)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Стан будівлі</w:t>
            </w:r>
            <w:r w:rsidRPr="006804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br/>
              <w:t>(задовільний, потребує ремонту, аварійний стан)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Примітка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лікувальний корпус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3999,6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Задовільний 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Корпус терапевтичного відділення для лікування інфекційних хвороб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311,0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Адміністративний корпус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367,5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Корпус стоматологічної поліклініки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147,6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Корпус харчо блоку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385,9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Місце розташування вул. Шкільна,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складу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гаражів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172,9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пральні 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467,5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Потребує ремонту 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3-х поверховий корпус терапевтичного відділення  (лікувальний корпус терапії)</w:t>
            </w:r>
          </w:p>
        </w:tc>
        <w:tc>
          <w:tcPr>
            <w:tcW w:w="13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1549,8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Задовільний </w:t>
            </w:r>
          </w:p>
        </w:tc>
        <w:tc>
          <w:tcPr>
            <w:tcW w:w="17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</w:tbl>
    <w:p w:rsidR="00792239" w:rsidRPr="00680456" w:rsidRDefault="00792239" w:rsidP="00792239">
      <w:pPr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2. ХАРАКТЕРИСТИКА ЗОНИ ОБСЛУГОВУВАННЯ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2.1. Населення та географія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00"/>
      </w:tblGrid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кількість населення зони: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~35 000–40 000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зони: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1,4 тис.км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районів / громад: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3 громади: Сухоєланецька. Новоодеська, Констянтинівська 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Координати  закладу та  кожної філії, підрозділу  окремо (назва філії, підрозділу та координати, у </w:t>
            </w: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разі якщо  підрозділів декілька у переліку обов`язково зазначати до  якого  підрозділу відносяться координати):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Миколаївська обл., Миколаївський р-н., м. Нова Одеса, вул. Шкільна, 38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Наявність в закладі аптечного пункту ПКВО «Фармація»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ідсутній </w:t>
            </w:r>
          </w:p>
        </w:tc>
      </w:tr>
    </w:tbl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</w:rPr>
        <w:t>2.2. Аналіз потреби населення в медичній допомозі</w:t>
      </w:r>
      <w:r w:rsidRPr="00680456">
        <w:rPr>
          <w:rFonts w:ascii="Times New Roman" w:hAnsi="Times New Roman" w:cs="Times New Roman"/>
          <w:lang w:val="uk-UA"/>
        </w:rPr>
        <w:t>, п</w:t>
      </w:r>
      <w:r w:rsidRPr="00680456">
        <w:rPr>
          <w:rFonts w:ascii="Times New Roman" w:hAnsi="Times New Roman" w:cs="Times New Roman"/>
        </w:rPr>
        <w:t>оказники якості та результативності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5"/>
        <w:gridCol w:w="1610"/>
        <w:gridCol w:w="1701"/>
      </w:tblGrid>
      <w:tr w:rsidR="00792239" w:rsidRPr="00680456" w:rsidTr="00531AE2">
        <w:trPr>
          <w:tblHeader/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Показник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2025 рік факт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I </w:t>
            </w: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квартал  2026 року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госпіталізованих хворих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 т.ч. планових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 т.ч. ургентних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Середня тривалість госпіталізації/оберт ліжка (діб)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8.2  /  25.5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9.0 / 6.7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Зайнятість ліжка (діб/рік)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Повторна госпіталізація протягом 30 днів (%)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Відмова в госпіталізації (%)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Летальність (%)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Реабілітація, кількість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Кількість амбулаторних відвідувань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39715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8319</w:t>
            </w:r>
          </w:p>
        </w:tc>
      </w:tr>
      <w:tr w:rsidR="00792239" w:rsidRPr="00680456" w:rsidTr="00531AE2">
        <w:trPr>
          <w:jc w:val="center"/>
        </w:trPr>
        <w:tc>
          <w:tcPr>
            <w:tcW w:w="56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Задоволеність пацієнтів (%)</w:t>
            </w:r>
          </w:p>
        </w:tc>
        <w:tc>
          <w:tcPr>
            <w:tcW w:w="16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98,5%</w:t>
            </w:r>
          </w:p>
        </w:tc>
      </w:tr>
    </w:tbl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3. МЕДИЧНІ ПОСЛУГИ ТА ПЕРСПЕКТИВИ РОЗВИТКУ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3.1. Перелік мінімальних (базових) напрямів медичного обслуговування</w:t>
      </w:r>
    </w:p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Segoe UI Symbol" w:hAnsi="Segoe UI Symbol" w:cs="Segoe UI Symbol"/>
          <w:i/>
          <w:iCs/>
          <w:color w:val="555555"/>
          <w:sz w:val="24"/>
          <w:szCs w:val="24"/>
        </w:rPr>
        <w:t>📌</w:t>
      </w:r>
      <w:r w:rsidRPr="006804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Відповідно до Додатку до Постанови КМУ № 174 — загальний заклад може працювати за 28 напрямами. Перелік може бути розширений власником відповідно до потреб населення.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363"/>
        <w:gridCol w:w="1396"/>
        <w:gridCol w:w="1782"/>
        <w:gridCol w:w="1977"/>
      </w:tblGrid>
      <w:tr w:rsidR="00792239" w:rsidRPr="00680456" w:rsidTr="00531AE2">
        <w:trPr>
          <w:tblHeader/>
        </w:trPr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Напрям медичного обслуговування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Надається (Так/Ні)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Кількість ліжок (факт)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Кількість ліжок (план 3 р.)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Анестезіологія (інтенсивна терапія в невідкладних станах)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Ортопедія і травматологія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Терапія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Хірургія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Неврологія</w:t>
            </w:r>
          </w:p>
        </w:tc>
        <w:tc>
          <w:tcPr>
            <w:tcW w:w="13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7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92239" w:rsidRPr="00792239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792239">
        <w:rPr>
          <w:rFonts w:ascii="Times New Roman" w:hAnsi="Times New Roman" w:cs="Times New Roman"/>
          <w:lang w:val="uk-UA"/>
        </w:rPr>
        <w:t>3.2. Обґрунтування планів розвитку</w:t>
      </w:r>
      <w:r w:rsidRPr="00680456">
        <w:rPr>
          <w:rFonts w:ascii="Times New Roman" w:hAnsi="Times New Roman" w:cs="Times New Roman"/>
          <w:lang w:val="uk-UA"/>
        </w:rPr>
        <w:t xml:space="preserve"> (збільшення напрямів медичного обслуговування або їх зменшення; відкриття або закриття філій; відділень та ін.) на 1-</w:t>
      </w:r>
      <w:r w:rsidRPr="00792239">
        <w:rPr>
          <w:rFonts w:ascii="Times New Roman" w:hAnsi="Times New Roman" w:cs="Times New Roman"/>
          <w:lang w:val="uk-UA"/>
        </w:rPr>
        <w:t>3 роки</w:t>
      </w:r>
    </w:p>
    <w:p w:rsidR="00792239" w:rsidRPr="00680456" w:rsidRDefault="00792239" w:rsidP="00792239">
      <w:pPr>
        <w:rPr>
          <w:rFonts w:ascii="Times New Roman" w:eastAsia="Times New Roman" w:hAnsi="Times New Roman" w:cs="Times New Roman"/>
          <w:sz w:val="24"/>
          <w:szCs w:val="24"/>
        </w:rPr>
      </w:pPr>
      <w:r w:rsidRPr="00680456">
        <w:rPr>
          <w:rFonts w:ascii="Times New Roman" w:eastAsia="Times New Roman" w:hAnsi="Times New Roman" w:cs="Times New Roman"/>
          <w:sz w:val="24"/>
          <w:szCs w:val="24"/>
        </w:rPr>
        <w:t xml:space="preserve">  Впровадження реабілітаційних послуг </w:t>
      </w:r>
    </w:p>
    <w:p w:rsidR="00792239" w:rsidRPr="00680456" w:rsidRDefault="00792239" w:rsidP="00792239">
      <w:pPr>
        <w:rPr>
          <w:rFonts w:ascii="Times New Roman" w:eastAsia="Times New Roman" w:hAnsi="Times New Roman" w:cs="Times New Roman"/>
          <w:sz w:val="24"/>
          <w:szCs w:val="24"/>
        </w:rPr>
      </w:pPr>
      <w:r w:rsidRPr="00680456">
        <w:rPr>
          <w:rFonts w:ascii="Times New Roman" w:eastAsia="Times New Roman" w:hAnsi="Times New Roman" w:cs="Times New Roman"/>
          <w:sz w:val="24"/>
          <w:szCs w:val="24"/>
        </w:rPr>
        <w:t xml:space="preserve">  Оптимізація ліжкового фонду </w:t>
      </w:r>
    </w:p>
    <w:p w:rsidR="00792239" w:rsidRPr="00680456" w:rsidRDefault="00792239" w:rsidP="00792239">
      <w:pPr>
        <w:rPr>
          <w:rFonts w:ascii="Times New Roman" w:eastAsia="Times New Roman" w:hAnsi="Times New Roman" w:cs="Times New Roman"/>
          <w:sz w:val="24"/>
          <w:szCs w:val="24"/>
        </w:rPr>
      </w:pPr>
      <w:r w:rsidRPr="00680456">
        <w:rPr>
          <w:rFonts w:ascii="Times New Roman" w:eastAsia="Times New Roman" w:hAnsi="Times New Roman" w:cs="Times New Roman"/>
          <w:sz w:val="24"/>
          <w:szCs w:val="24"/>
        </w:rPr>
        <w:t xml:space="preserve">  Розвиток паліативної допомоги </w:t>
      </w:r>
    </w:p>
    <w:p w:rsidR="00792239" w:rsidRPr="00680456" w:rsidRDefault="00792239" w:rsidP="00792239">
      <w:pPr>
        <w:rPr>
          <w:rFonts w:ascii="Times New Roman" w:eastAsia="Times New Roman" w:hAnsi="Times New Roman" w:cs="Times New Roman"/>
          <w:sz w:val="24"/>
          <w:szCs w:val="24"/>
        </w:rPr>
      </w:pPr>
      <w:r w:rsidRPr="00680456">
        <w:rPr>
          <w:rFonts w:ascii="Times New Roman" w:eastAsia="Times New Roman" w:hAnsi="Times New Roman" w:cs="Times New Roman"/>
          <w:sz w:val="24"/>
          <w:szCs w:val="24"/>
        </w:rPr>
        <w:t xml:space="preserve">  Впровадження нових пакетів НСЗУ 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eastAsia="Times New Roman" w:hAnsi="Times New Roman" w:cs="Times New Roman"/>
          <w:sz w:val="24"/>
          <w:szCs w:val="24"/>
        </w:rPr>
        <w:t>  Посилення амбулаторного напрямку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  <w:lang w:val="uk-UA"/>
        </w:rPr>
        <w:t>3.3. Перелік поліклінічних відділень / Консультаційно-діагностичний центр та плани реорганізації (відкриття, скорочення, розвитку та ін.)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975"/>
        <w:gridCol w:w="2380"/>
        <w:gridCol w:w="3163"/>
      </w:tblGrid>
      <w:tr w:rsidR="00792239" w:rsidRPr="00680456" w:rsidTr="00531AE2">
        <w:trPr>
          <w:tblHeader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Назва підрозділу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Потужність (відвідувань за зміну)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Плани реорганізації (1-3 роки)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Поліклінічне відділення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Рентгенологічний підрозділ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Діагностичний підрозділ: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ЕКГ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УЗД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Фізіотерапевтичний підрозділ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Лабораторний підрозділ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600-650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Кабінет планування сім’ї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2239" w:rsidRPr="00680456" w:rsidTr="00531AE2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Кабінет замісної підтримувальної терапії </w:t>
            </w:r>
          </w:p>
        </w:tc>
        <w:tc>
          <w:tcPr>
            <w:tcW w:w="2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</w:rPr>
        <w:t>3.4. Наявність спеціалізованих центрів / підрозділів</w:t>
      </w:r>
      <w:r w:rsidRPr="00680456">
        <w:rPr>
          <w:rFonts w:ascii="Times New Roman" w:hAnsi="Times New Roman" w:cs="Times New Roman"/>
          <w:lang w:val="uk-UA"/>
        </w:rPr>
        <w:t xml:space="preserve"> (НЕ ВІДДІЛЕННЯ)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164"/>
        <w:gridCol w:w="1582"/>
        <w:gridCol w:w="1594"/>
        <w:gridCol w:w="2178"/>
      </w:tblGrid>
      <w:tr w:rsidR="00792239" w:rsidRPr="00680456" w:rsidTr="00531AE2">
        <w:trPr>
          <w:tblHeader/>
        </w:trPr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Центр / підрозділ</w:t>
            </w:r>
          </w:p>
        </w:tc>
        <w:tc>
          <w:tcPr>
            <w:tcW w:w="15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Є (Так/Ні)</w:t>
            </w:r>
          </w:p>
        </w:tc>
        <w:tc>
          <w:tcPr>
            <w:tcW w:w="15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Планується відкриття (вказати орієнтовні терміни  відкриття)</w:t>
            </w:r>
          </w:p>
        </w:tc>
        <w:tc>
          <w:tcPr>
            <w:tcW w:w="21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Існуючі бар`єри  або питання питання, що потребують  вирішення</w:t>
            </w: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Паліативне відділення</w:t>
            </w:r>
          </w:p>
        </w:tc>
        <w:tc>
          <w:tcPr>
            <w:tcW w:w="15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5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46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Центр ментального здоров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59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92239" w:rsidRPr="00680456" w:rsidRDefault="00792239" w:rsidP="00792239">
      <w:pPr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4. КАДРОВІ РЕСУРСИ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</w:rPr>
        <w:t>4.1. Склад персоналу</w:t>
      </w:r>
      <w:r w:rsidRPr="00680456">
        <w:rPr>
          <w:rFonts w:ascii="Times New Roman" w:hAnsi="Times New Roman" w:cs="Times New Roman"/>
          <w:lang w:val="uk-UA"/>
        </w:rPr>
        <w:t xml:space="preserve"> станом на 01.04.2026 року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946"/>
        <w:gridCol w:w="1256"/>
        <w:gridCol w:w="1127"/>
        <w:gridCol w:w="1280"/>
        <w:gridCol w:w="1840"/>
      </w:tblGrid>
      <w:tr w:rsidR="00792239" w:rsidRPr="00680456" w:rsidTr="00531AE2">
        <w:trPr>
          <w:tblHeader/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Посада / спеціальність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Штатних одиниць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з них: вакансії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Фізичних осіб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з них: пенсійного віку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Лікарі — всього: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 т.ч. за спеціальностями (розписати):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акушер-гінеколог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психіатр 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невропатолог 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педіатр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терапевт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стоматолог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методист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анестезіолог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отоларинголог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дерматовенеролог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офтальмолог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функціональної діагностики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УЗД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лаборант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хірург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 травматолог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ендокренолог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Лікар-інтерн зі спеціальності «Офтальмологія»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 з лікувальної фізкультури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Лікар-рентгенолог 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Лікар-елідеміолог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Лікар-трансфузіологг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Лікар-стоматолог-ортопед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Лікар-стоматолог-терапевт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Середній медичний  персонал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Молодший медичний персонал: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Адміністративний персонал: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РАЗОМ (ВСЬОГО ПО  ЗАКЛАДУ):</w:t>
            </w:r>
          </w:p>
        </w:tc>
        <w:tc>
          <w:tcPr>
            <w:tcW w:w="101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174.5</w:t>
            </w:r>
          </w:p>
        </w:tc>
        <w:tc>
          <w:tcPr>
            <w:tcW w:w="11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4.2. Потреби у доукомплектуванні та навчанні (</w:t>
      </w:r>
      <w:r w:rsidRPr="00680456">
        <w:rPr>
          <w:rFonts w:ascii="Times New Roman" w:hAnsi="Times New Roman" w:cs="Times New Roman"/>
          <w:lang w:val="uk-UA"/>
        </w:rPr>
        <w:t>в</w:t>
      </w:r>
      <w:r w:rsidRPr="00680456">
        <w:rPr>
          <w:rFonts w:ascii="Times New Roman" w:hAnsi="Times New Roman" w:cs="Times New Roman"/>
        </w:rPr>
        <w:t>житі заходи (наявність житла, прийнята  програма місцевих стимулів та ін.)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 xml:space="preserve">Прогнозована нестача лікарів (причини, терміни вирішення): Основною причиною нестачі лікарів є військова агресія російської федерації, тому що  заклад розташований в зоні можливих бойових дій. Молоді лікарі на початком війни виїхали на території безпечного проживання. Лікарі що втратили житло на окупованих територіях і вимушені були переселитись теж обрали для проживання захід України. 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Для оптимізації штату закладу здійснюється та впроваджується наступне: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-проходження спеціалізації наявних спеціалістів для заміщення відсутніх спеціалістів;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-чіткий розподіл обов’язків між головним лікарем закладу та заступником головного лікаря з медичної частини для постійного та ефективного супроводу відповідних ланок роботи;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-заохочення молодих спеціалістів сучасними умовами праці, доплатами, службовим житлом;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lastRenderedPageBreak/>
        <w:t xml:space="preserve">-залучення спеціалістів, які відсутні у закладі, з інших ЗОЗ  та придбання необхідного обладнання для збільшення кількості підписаних пакетів. </w:t>
      </w:r>
    </w:p>
    <w:p w:rsidR="00792239" w:rsidRPr="00680456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-затверджено міську цільову «Програму підтримки та розвитку вторинної (стаціонарної) медичної допомоги  Комунального некомерційного підприємства «Новоодеська багатопрофільна лікарня» Новоодес</w:t>
      </w:r>
      <w:r w:rsidR="00353FE1">
        <w:rPr>
          <w:rFonts w:ascii="Times New Roman" w:hAnsi="Times New Roman" w:cs="Times New Roman"/>
          <w:sz w:val="24"/>
          <w:szCs w:val="24"/>
        </w:rPr>
        <w:t>ької  міської ради» на 2026-2029</w:t>
      </w:r>
      <w:bookmarkStart w:id="0" w:name="_GoBack"/>
      <w:bookmarkEnd w:id="0"/>
      <w:r w:rsidRPr="00680456">
        <w:rPr>
          <w:rFonts w:ascii="Times New Roman" w:hAnsi="Times New Roman" w:cs="Times New Roman"/>
          <w:sz w:val="24"/>
          <w:szCs w:val="24"/>
        </w:rPr>
        <w:t xml:space="preserve"> роки, в якій передбачені заходи .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4.3. Колективний договір</w:t>
      </w:r>
    </w:p>
    <w:p w:rsidR="00792239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Чинний колективний договір: укладено  (дата, термін дії): 29.04.2020 до 2028 р.</w:t>
      </w:r>
    </w:p>
    <w:p w:rsidR="00792239" w:rsidRDefault="00792239" w:rsidP="00792239">
      <w:pPr>
        <w:spacing w:before="60" w:after="80"/>
        <w:rPr>
          <w:rFonts w:ascii="Times New Roman" w:hAnsi="Times New Roman" w:cs="Times New Roman"/>
          <w:sz w:val="24"/>
          <w:szCs w:val="24"/>
        </w:rPr>
      </w:pPr>
    </w:p>
    <w:p w:rsidR="00792239" w:rsidRPr="00E16F33" w:rsidRDefault="00792239" w:rsidP="00792239">
      <w:pPr>
        <w:pStyle w:val="1"/>
        <w:shd w:val="clear" w:color="auto" w:fill="1F4E79"/>
        <w:ind w:right="200"/>
        <w:rPr>
          <w:rFonts w:ascii="Times New Roman" w:hAnsi="Times New Roman" w:cs="Times New Roman"/>
          <w:sz w:val="24"/>
          <w:szCs w:val="24"/>
          <w:lang w:val="uk-UA"/>
        </w:rPr>
      </w:pPr>
      <w:r w:rsidRPr="00680456">
        <w:rPr>
          <w:rFonts w:ascii="Times New Roman" w:hAnsi="Times New Roman" w:cs="Times New Roman"/>
          <w:sz w:val="24"/>
          <w:szCs w:val="24"/>
        </w:rPr>
        <w:t>5. МАТЕРІАЛЬНО-ТЕХНІЧНЕ ЗАБЕЗПЕЧЕННЯ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  <w:lang w:val="uk-UA"/>
        </w:rPr>
      </w:pPr>
      <w:r w:rsidRPr="00680456">
        <w:rPr>
          <w:rFonts w:ascii="Times New Roman" w:hAnsi="Times New Roman" w:cs="Times New Roman"/>
        </w:rPr>
        <w:t>5.1. Будівлі та приміщення</w:t>
      </w:r>
    </w:p>
    <w:tbl>
      <w:tblPr>
        <w:tblpPr w:leftFromText="180" w:rightFromText="180" w:vertAnchor="text" w:horzAnchor="margin" w:tblpY="337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271"/>
        <w:gridCol w:w="1160"/>
        <w:gridCol w:w="1492"/>
        <w:gridCol w:w="1711"/>
        <w:gridCol w:w="1884"/>
      </w:tblGrid>
      <w:tr w:rsidR="00792239" w:rsidRPr="00680456" w:rsidTr="00531AE2">
        <w:trPr>
          <w:tblHeader/>
        </w:trPr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Назва об'єкту / адреса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Площа (кв.м)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Форма власн. / оренда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Стан будівлі</w:t>
            </w:r>
            <w:r w:rsidRPr="006804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br/>
              <w:t>(задовільний, потребує ремонту, аварійний стан)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Головний лікувальний корпус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3999,6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Корпус терапевтичного відділення для лікування інфекційних хвороб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311,0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Адміністративний корпус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367,5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Корпус стоматологічної поліклініки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147,6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Корпус харчо блоку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385,9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Приміщення складу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Приміщення гаражів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172,9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rPr>
          <w:trHeight w:val="1658"/>
        </w:trPr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Приміщення пральні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467,5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Потребує ремонту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  <w:tr w:rsidR="00792239" w:rsidRPr="00680456" w:rsidTr="00531AE2">
        <w:tc>
          <w:tcPr>
            <w:tcW w:w="4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3-х поверховий корпус терапевтичного відділення  (лікувальний корпус терапії)</w:t>
            </w:r>
          </w:p>
        </w:tc>
        <w:tc>
          <w:tcPr>
            <w:tcW w:w="117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1549,8 м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171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9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 розташування вул. Шкільна, 38</w:t>
            </w:r>
          </w:p>
        </w:tc>
      </w:tr>
    </w:tbl>
    <w:p w:rsidR="00792239" w:rsidRPr="008F7FC1" w:rsidRDefault="00792239" w:rsidP="00792239"/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5.2. Медичне обладнання</w:t>
      </w:r>
    </w:p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i/>
          <w:iCs/>
          <w:color w:val="555555"/>
          <w:sz w:val="24"/>
          <w:szCs w:val="24"/>
        </w:rPr>
      </w:pPr>
      <w:r w:rsidRPr="00680456">
        <w:rPr>
          <w:rFonts w:ascii="Segoe UI Symbol" w:hAnsi="Segoe UI Symbol" w:cs="Segoe UI Symbol"/>
          <w:i/>
          <w:iCs/>
          <w:color w:val="555555"/>
          <w:sz w:val="24"/>
          <w:szCs w:val="24"/>
        </w:rPr>
        <w:t>📌</w:t>
      </w:r>
      <w:r w:rsidRPr="006804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Перевірити відповідність табелю оснащення відповідно до чинних наказів МОЗ</w:t>
      </w:r>
    </w:p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7"/>
        <w:gridCol w:w="1875"/>
        <w:gridCol w:w="2073"/>
        <w:gridCol w:w="1925"/>
      </w:tblGrid>
      <w:tr w:rsidR="00792239" w:rsidRPr="00680456" w:rsidTr="00531AE2">
        <w:trPr>
          <w:tblHeader/>
        </w:trPr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Вид обладнання / медична техніка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Є в наявності у працездатному  стані (Так/Ні)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Потреба у заміні/придбанні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Орієнтована вартість (грн)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Операційне обладнання: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високачастотної електрохірургії ЕХВА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Лапароскоп 30*Ф10*330мм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Прилад високочастотної електрохірургії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високочастотний електрохірургічний ЕХВА -350 Н/120Б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FG-29 V. Pentax medikal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Кольпоскоп з системою відеоспостереження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Прилад високочастотної електрохірургії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Анестезіологічне обладнання: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ШВЛ OSIRIS-1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ШВЛ Capina System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ШВЛ Бриз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Обладнання відділення інтенсивної терапії :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</w:tr>
      <w:tr w:rsidR="00792239" w:rsidRPr="006321D4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r w:rsidRPr="00680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ACCURO. CHARMCARE, CO, LTD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Пульсоксиметр Р-30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Монітор пацієнта Efjcia CM 12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Монітор нагляду за станом пацієнта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Монітор нагляду за станом пацієнта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ШВЛ Бриз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УЗД-апарат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Рентгенологічне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обладнання: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820 000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рентгенівська діагностична Calipso F MTOes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Комплекс рентгенівської діагностики Emansis Digital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Рентген апарат дентальний 5Д2-УХЛ-4,2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Рентген установка переносна 12 П 5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Аналізатор імунофлуоресцентний LS-1100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Апарат рентгенівський "Арман"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Флюрограф 12Ф Україна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820 000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Лабораторне обладнання: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Аналізатор сечі CL-50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Автоматичний біохімічний аналізатор DS-261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Кількістний імунофлуорестцентний аналізатор FA50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Автоматичний гематологічний аналізатор Abacus Junior 30 ACS Diatron MI PLC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Аналізатор флуоренсцентний LS-1100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Реанімаційне обладнання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Транспортні засоби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700 000 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Комп'ютерна техніка (робочих місць)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Офтальмологічне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2 250 000</w:t>
            </w:r>
          </w:p>
        </w:tc>
      </w:tr>
      <w:tr w:rsidR="00792239" w:rsidRPr="00680456" w:rsidTr="00531AE2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Стоматологічне</w:t>
            </w:r>
          </w:p>
        </w:tc>
        <w:tc>
          <w:tcPr>
            <w:tcW w:w="16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9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</w:p>
        </w:tc>
      </w:tr>
    </w:tbl>
    <w:p w:rsidR="00792239" w:rsidRPr="00680456" w:rsidRDefault="00792239" w:rsidP="00792239">
      <w:pPr>
        <w:rPr>
          <w:rFonts w:ascii="Times New Roman" w:hAnsi="Times New Roman" w:cs="Times New Roman"/>
          <w:sz w:val="24"/>
          <w:szCs w:val="24"/>
        </w:rPr>
      </w:pPr>
    </w:p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6. ВПРОВАДЖЕННЯ ЄСОЗ ТА ЦИФРОВІЗАЦІЯ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6.1. Статус впровадження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00"/>
      </w:tblGrid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МІС: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Health-24</w:t>
            </w:r>
          </w:p>
        </w:tc>
      </w:tr>
      <w:tr w:rsidR="00792239" w:rsidRPr="00680456" w:rsidTr="00531AE2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Відсоток комп'ютеризованих робочих місць (1  лікар – 1 комп`ютеризоване робоче місце):</w:t>
            </w:r>
          </w:p>
        </w:tc>
        <w:tc>
          <w:tcPr>
            <w:tcW w:w="5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6.2. План розвитку цифровізації (</w:t>
      </w:r>
      <w:r w:rsidRPr="00680456">
        <w:rPr>
          <w:rFonts w:ascii="Times New Roman" w:hAnsi="Times New Roman" w:cs="Times New Roman"/>
          <w:lang w:val="uk-UA"/>
        </w:rPr>
        <w:t>1-</w:t>
      </w:r>
      <w:r w:rsidRPr="00680456">
        <w:rPr>
          <w:rFonts w:ascii="Times New Roman" w:hAnsi="Times New Roman" w:cs="Times New Roman"/>
        </w:rPr>
        <w:t>3 роки)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103"/>
        <w:gridCol w:w="2114"/>
        <w:gridCol w:w="4090"/>
      </w:tblGrid>
      <w:tr w:rsidR="00792239" w:rsidRPr="00680456" w:rsidTr="00531AE2">
        <w:trPr>
          <w:tblHeader/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Захід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Термін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Джерело фінансування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цифрової грамотності медичного персоналу 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Впровадження телемедицини: Дистанційні консультації, телеметрія.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Кібербезпека: Захист персональних даних пацієнтів відповідно до законодавства.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Пацієнт-орієнтованість: Онлайн-запис, особистий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кабінет пацієнта.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Оновлення комп'ютерної техніки, модернізація локальної мережі, навчання персоналу.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кошти, кошти місцевного бюджету.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Пуступовий перехід на електронний документообіг.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кошти, кошти місцевного бюджету.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Забезпечення комп’ютерною технікою всіх структурних підрозділів.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кошти, кошти місцевного бюджету.</w:t>
            </w:r>
          </w:p>
        </w:tc>
      </w:tr>
      <w:tr w:rsidR="00792239" w:rsidRPr="00680456" w:rsidTr="00531AE2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Організація стабільного доступу до інтернету.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1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Власні кошти, кошти БФ та ГО, грантові кошти, кошти місцевного бюджету.</w:t>
            </w:r>
          </w:p>
        </w:tc>
      </w:tr>
    </w:tbl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7. АНАЛІЗ ВИКОНАННЯ ПРОГРАМИ МЕДИЧНИХ ГАРАНТІЙ (НСЗУ)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7.1. Договори з НСЗУ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933"/>
        <w:gridCol w:w="1933"/>
        <w:gridCol w:w="1934"/>
      </w:tblGrid>
      <w:tr w:rsidR="00792239" w:rsidRPr="00680456" w:rsidTr="00531AE2">
        <w:trPr>
          <w:tblHeader/>
        </w:trPr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Показник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2025 рік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2026 рік</w:t>
            </w:r>
          </w:p>
        </w:tc>
        <w:tc>
          <w:tcPr>
            <w:tcW w:w="19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531AE2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Кількість медичних пакетів за договором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Загальна сума фінансування (тис. грн)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27 329,9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28057,9</w:t>
            </w:r>
          </w:p>
        </w:tc>
        <w:tc>
          <w:tcPr>
            <w:tcW w:w="19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Фактично отримано (тис. грн)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27 329,9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7531,6</w:t>
            </w:r>
          </w:p>
        </w:tc>
        <w:tc>
          <w:tcPr>
            <w:tcW w:w="19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% виконання фінансового плану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3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26,8%</w:t>
            </w:r>
          </w:p>
        </w:tc>
        <w:tc>
          <w:tcPr>
            <w:tcW w:w="193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  <w:lang w:val="uk-UA"/>
        </w:rPr>
        <w:lastRenderedPageBreak/>
        <w:t>8</w:t>
      </w:r>
      <w:r w:rsidRPr="00680456">
        <w:rPr>
          <w:rFonts w:ascii="Times New Roman" w:hAnsi="Times New Roman" w:cs="Times New Roman"/>
          <w:sz w:val="24"/>
          <w:szCs w:val="24"/>
        </w:rPr>
        <w:t>. ФІНАНСУВАННЯ ТА ІНВЕСТИЦІЇ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  <w:lang w:val="uk-UA"/>
        </w:rPr>
        <w:t>8</w:t>
      </w:r>
      <w:r w:rsidRPr="00680456">
        <w:rPr>
          <w:rFonts w:ascii="Times New Roman" w:hAnsi="Times New Roman" w:cs="Times New Roman"/>
        </w:rPr>
        <w:t>.1. Прогноз фінансової стійкості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792239" w:rsidRPr="00680456" w:rsidTr="00531AE2">
        <w:trPr>
          <w:tblHeader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Джерело фінансування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2025 рік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2026 рік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Кошти НСЗУ (договір ПМГ)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27 329,9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28 057,9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Корегується додатковими  угодами 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Місцевий бюджет (субвенції, дотації)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8 853,4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9 836,7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Уточнюється довідками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Платні послуги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4 132,0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2 442,3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Гранти / міжнародна технічна допомога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Благодійні внески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7 475,0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Надходження від аренди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Інші джерела: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481,3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РАЗОМ ДОХОДІВ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48 271,6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40 336,9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Segoe UI Symbol" w:hAnsi="Segoe UI Symbol" w:cs="Segoe UI Symbol"/>
          <w:i/>
          <w:iCs/>
          <w:color w:val="555555"/>
          <w:sz w:val="24"/>
          <w:szCs w:val="24"/>
        </w:rPr>
        <w:t>📌</w:t>
      </w:r>
      <w:r w:rsidRPr="006804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Фонд оплати праці не повинен перевищувати 85% від загального доходу закладу</w:t>
      </w:r>
    </w:p>
    <w:p w:rsidR="00792239" w:rsidRPr="00680456" w:rsidRDefault="00792239" w:rsidP="00792239">
      <w:pPr>
        <w:pStyle w:val="2"/>
        <w:pBdr>
          <w:bottom w:val="single" w:sz="6" w:space="1" w:color="2E75B6"/>
        </w:pBdr>
        <w:rPr>
          <w:rFonts w:ascii="Times New Roman" w:hAnsi="Times New Roman" w:cs="Times New Roman"/>
        </w:rPr>
      </w:pPr>
      <w:r w:rsidRPr="00680456">
        <w:rPr>
          <w:rFonts w:ascii="Times New Roman" w:hAnsi="Times New Roman" w:cs="Times New Roman"/>
        </w:rPr>
        <w:t>8.2. Основні статті видатків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792239" w:rsidRPr="00680456" w:rsidTr="00531AE2">
        <w:trPr>
          <w:tblHeader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Стаття витрат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2025 рік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2026 рік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Фонд оплати праці (з нарахуваннями)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28 040,2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27 872,7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Медикаменти та витратні матеріали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4 820,9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3 425,4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Комунальні послуги та енергоносії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6 018,7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7 573,8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та ремонт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Капітальні інвестиції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5709,6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Навчання персоналу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Навчання планується за кошти грантерів</w:t>
            </w:r>
          </w:p>
        </w:tc>
      </w:tr>
      <w:tr w:rsidR="00792239" w:rsidRPr="00680456" w:rsidTr="00531AE2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15 837,3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Уточнюються при надходженнях</w:t>
            </w:r>
          </w:p>
        </w:tc>
      </w:tr>
    </w:tbl>
    <w:p w:rsidR="00792239" w:rsidRPr="00680456" w:rsidRDefault="00792239" w:rsidP="00792239">
      <w:pPr>
        <w:pStyle w:val="1"/>
        <w:shd w:val="clear" w:color="auto" w:fill="1F4E79"/>
        <w:ind w:left="200" w:right="20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Times New Roman" w:hAnsi="Times New Roman" w:cs="Times New Roman"/>
          <w:sz w:val="24"/>
          <w:szCs w:val="24"/>
        </w:rPr>
        <w:t>9. ПЛАН ЗАХОДІВ НА 1-3 РОКИ</w:t>
      </w:r>
    </w:p>
    <w:p w:rsidR="00792239" w:rsidRPr="00680456" w:rsidRDefault="00792239" w:rsidP="00792239">
      <w:pPr>
        <w:spacing w:before="60" w:after="80"/>
        <w:ind w:left="360"/>
        <w:rPr>
          <w:rFonts w:ascii="Times New Roman" w:hAnsi="Times New Roman" w:cs="Times New Roman"/>
          <w:sz w:val="24"/>
          <w:szCs w:val="24"/>
        </w:rPr>
      </w:pPr>
      <w:r w:rsidRPr="00680456">
        <w:rPr>
          <w:rFonts w:ascii="Segoe UI Symbol" w:hAnsi="Segoe UI Symbol" w:cs="Segoe UI Symbol"/>
          <w:i/>
          <w:iCs/>
          <w:color w:val="555555"/>
          <w:sz w:val="24"/>
          <w:szCs w:val="24"/>
        </w:rPr>
        <w:t>📌</w:t>
      </w:r>
      <w:r w:rsidRPr="006804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Кожен захід повинен мати конкретний вимірний результат. Зазначайте квартали  та рік</w:t>
      </w:r>
    </w:p>
    <w:tbl>
      <w:tblPr>
        <w:tblW w:w="9781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2126"/>
        <w:gridCol w:w="1276"/>
        <w:gridCol w:w="10"/>
        <w:gridCol w:w="982"/>
      </w:tblGrid>
      <w:tr w:rsidR="00792239" w:rsidRPr="00680456" w:rsidTr="00792239">
        <w:trPr>
          <w:tblHeader/>
        </w:trPr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Захід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Термін (рік/квартал)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Результативний показник</w:t>
            </w:r>
          </w:p>
        </w:tc>
        <w:tc>
          <w:tcPr>
            <w:tcW w:w="128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Рік, квартал</w:t>
            </w:r>
          </w:p>
        </w:tc>
        <w:tc>
          <w:tcPr>
            <w:tcW w:w="9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92239" w:rsidRPr="00680456" w:rsidRDefault="00792239" w:rsidP="0053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 Організація та управління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Проводити аналіз індикаторів якості медичної допомоги в закладі з урахуванням сучасних економічних умов у розвитку галузі охорони здоров’я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Здійснювати моніторинг за визначеними індикаторами якості та приймати відповідні заходи у випадку зниження якості наданих медичних послуг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Забезпечення щорічного порівняльного аналізу т показників якості медичної допомоги у лікарні:, а саме : показник рівня загальної летальності у стаціонарі, показники лікарняної летальності у розрізі наявних у лікарні профілів ліжок; загальний показник післяопераційної летальності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Провести оптимізацію закладу для праці в спроможній мережі, з метою приведення функціональних потужностей (кадрового потенціалу, технічного оснащення) до рівня зазначених вимог.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2026/2 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Ввійти до спроможної мережі як загальна лікарня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2. Розвиток медичних послуг та підвищення якості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Контролювати забезпечення централізованого постачання медичним киснем усіх  ліжок 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розширювати спектр діагностичних   послуг з метою збереження конкурентоспроможності закладу, постійно,розширювати перелік платних послуг 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Рання діагностика захворювань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показника охоплення населення якісними медичними послугами. 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3. Матеріально-технічне забезпечення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стабільного  покращення матеріально-технічногого забезпечення закладу   залучати додаткові джерела фінансових надходжень , брати участь в конкурсних грантових відборах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истематично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истематично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Створення одно та двомісних палат підвищеного комфорту (створення комфортних умов перебування хворого).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истематично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истематично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E16F33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поточних та капітальних ремонтів приміщень, оновлення меблів, постільної білизни. 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Будівництво свердловини з метою забезпечення питною водою.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 рік /3 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Створення комфортних умов перебування пацієнтів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Ремонт укриття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 рік, 2-3 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Створення безпечних умов перебування пацієнтів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4. Розвиток кадрових ресурсів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Забезпечити наявність компетентних кадрових ресурсів та їх розвиток.</w:t>
            </w:r>
          </w:p>
          <w:p w:rsidR="00792239" w:rsidRPr="00680456" w:rsidRDefault="00792239" w:rsidP="00531A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 Залучення до закладу молодих фахівців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Створення мотиваційної системи для персоналу (премії, надбавки тощо). В основі реалізації стимулюючої функції системи оплати праці Підприємства має бути зацікавленість у результатах роботи, а тому основну частку заробітної плати доцільно пов’язати із наявними результатами індивідуальної праці, виходячи з особистих якостей і результатів праці кожного медичного працівника.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2026 рік,2 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Збереження кадрового складу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5. Впровадження ЄСОЗ та цифровізація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Комп`ютеризація процесів відображених на папері.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Пришвидшення процесу надання послуг.   Робота з сайтами закладу, постійне висвітлення новин та швидший  доступ до необхідної інформації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6. Підвищення задоволеності пацієнтів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поліпшення рівня задоволеності пацієнтів, сприяння формуванню у них позитивного досвіду щодо лікарні та підвищення рівня їх задоволеності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отримуваними послугами, розробити стандарти обслуговування клієнтів, зокрема: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алгоритм якісного обслуговування пацієнтів по телефону і зустрічі в медичному закладі для адміністраторів/операторів;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алгоритми первинного та повторного прийому пацієнтів для лікарів; стандарт поводження з пацієнтом для середнього медичного персоналу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рік 2 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Збереження можливості проведення оперативних втручань ( персонал, обладнання, приміщення)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1 кв.2026 р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Своєчасна медична допомога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7. Управління якістю медичної допомоги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Контролювати якість надання медичної допомоги на рівні: самоконтролю якості, контролю на рівні завідуючого відділенням, контролю на рівні головного лікаря шляхом здійснення експертизи відповідності якості наданої допомоги вимогам державних галузевих стандартів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Підвищення якості медичної допомоги, збільшення рівня задоволеності пацієнтами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8. Оптимізація витрат та залучення фінансових ресурсів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widowControl w:val="0"/>
              <w:tabs>
                <w:tab w:val="left" w:pos="51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та підписати новий колективний договір, де  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мають бути чітко визначені трудові та соціально-економічні відносини, що виникають між роботодавцем і працівниками. В тому числі форми і системи оплати праці, норми праці, розцінки, умови запровадження та розміри надбавок, доплат, премій, винагород та інших заохочувальних, компенсаційних і гарантійних виплат.</w:t>
            </w:r>
          </w:p>
          <w:p w:rsidR="00792239" w:rsidRPr="00680456" w:rsidRDefault="00792239" w:rsidP="00531AE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Задля забезпечення принципів справедливості і прозорості оплати праці у процесі розробки й укладення колективного договору необхідно передбачити, те, щоб система оплати праці чітко визначала:</w:t>
            </w:r>
          </w:p>
          <w:p w:rsidR="00792239" w:rsidRPr="00680456" w:rsidRDefault="00792239" w:rsidP="00531AE2">
            <w:pPr>
              <w:widowControl w:val="0"/>
              <w:tabs>
                <w:tab w:val="left" w:pos="114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основної заробітної плати за елементами, з яких вона складається;</w:t>
            </w:r>
          </w:p>
          <w:p w:rsidR="00792239" w:rsidRPr="00680456" w:rsidRDefault="00792239" w:rsidP="00531AE2">
            <w:pPr>
              <w:widowControl w:val="0"/>
              <w:tabs>
                <w:tab w:val="left" w:pos="114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ab/>
              <w:t>показники, за якими певним групам та категоріям працівників нараховується заробітна плата;</w:t>
            </w:r>
          </w:p>
          <w:p w:rsidR="00792239" w:rsidRPr="00680456" w:rsidRDefault="00792239" w:rsidP="00531AE2">
            <w:pPr>
              <w:widowControl w:val="0"/>
              <w:tabs>
                <w:tab w:val="left" w:pos="105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умови, за яких основна заробітна плата працівників може бути підвищена або знижена до рівня, передбаченого законом, із визначенням показників та умов діяльності, за якими це підвищення або зниження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 бути застосовано, та розмірів такого підвищення або зниження;</w:t>
            </w:r>
          </w:p>
          <w:p w:rsidR="00792239" w:rsidRPr="00680456" w:rsidRDefault="00792239" w:rsidP="00531AE2">
            <w:pPr>
              <w:widowControl w:val="0"/>
              <w:tabs>
                <w:tab w:val="left" w:pos="104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ab/>
              <w:t>показники та умови нарахування додаткової оплати праці: премій, доплат, надбавок або інших заохочувальних та компенсаційних виплат.</w:t>
            </w:r>
          </w:p>
          <w:p w:rsidR="00792239" w:rsidRPr="00680456" w:rsidRDefault="00792239" w:rsidP="00531AE2">
            <w:pPr>
              <w:widowControl w:val="0"/>
              <w:tabs>
                <w:tab w:val="left" w:pos="50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Здійснити заходи щодо створення умов для укладання угоди між Підприємством та Національною службою здоров’я України.</w:t>
            </w:r>
          </w:p>
          <w:p w:rsidR="00792239" w:rsidRPr="00680456" w:rsidRDefault="00792239" w:rsidP="00531AE2">
            <w:pPr>
              <w:widowControl w:val="0"/>
              <w:tabs>
                <w:tab w:val="left" w:pos="505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39" w:rsidRPr="00680456" w:rsidRDefault="00792239" w:rsidP="00531A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рік 2 -3 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 конкурентноспроможним,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доступним до населення закладом, що надає кваліфіковану медичну допомогу.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працювати над залученням додаткових джерел фінансових надходжень. такими можуть бути: благодійна допомога та кошти грантів; кошти добровільного медичного страхування; оплата лікарні за наданні послуги за угодами; надходження за послуги, які надає лікарня поверх нормативів надання безоплатної медичної допомоги; за послуги наданні пацієнтам за їх особистої ініціативи; добровільні внески та пожертви; грошові надходження від надання платних послуг населенню, а також інші джерела, які не заборонені чинним законодавством України. 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Також, додатковим джерелом фінансування може бути дохід від передавання в оренду нерухомого майна та надання платних сервісних послуг пацієнтам (палати покращеного сервісу).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Забезпечення рівня витрат на заробітну плату не вище 85% від доходів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9. Координація і співпраця з іншими ЗОЗ у мережі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Заключення договорів з медичними закладами про надання послуг які не надаються в ЗОЗ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39" w:rsidRPr="00680456" w:rsidTr="00792239">
        <w:tc>
          <w:tcPr>
            <w:tcW w:w="9781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10. Інше</w:t>
            </w:r>
          </w:p>
        </w:tc>
      </w:tr>
      <w:tr w:rsidR="00792239" w:rsidRPr="00680456" w:rsidTr="00792239">
        <w:tc>
          <w:tcPr>
            <w:tcW w:w="8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Покращення навігації в лікарні.</w:t>
            </w:r>
          </w:p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56">
              <w:rPr>
                <w:rFonts w:ascii="Times New Roman" w:hAnsi="Times New Roman" w:cs="Times New Roman"/>
                <w:sz w:val="24"/>
                <w:szCs w:val="24"/>
              </w:rPr>
              <w:t>Встановити вказівники для кожного відділення та важливих адміністративних зон, що зменшить кількість запитів до персоналу лікарні. Дотримуватися маршуту пацієнта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92239" w:rsidRPr="00680456" w:rsidRDefault="00792239" w:rsidP="0053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239" w:rsidRPr="00F30A64" w:rsidRDefault="00792239" w:rsidP="00792239">
      <w:pPr>
        <w:pBdr>
          <w:top w:val="single" w:sz="4" w:space="0" w:color="BBBBBB"/>
        </w:pBdr>
        <w:spacing w:before="200" w:after="80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  <w:b/>
          <w:bCs/>
        </w:rPr>
        <w:t>Нормативна база:</w:t>
      </w:r>
    </w:p>
    <w:p w:rsidR="00792239" w:rsidRPr="00F30A64" w:rsidRDefault="00792239" w:rsidP="00792239">
      <w:pPr>
        <w:spacing w:before="60" w:after="80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</w:rPr>
        <w:t>• Постанова КМУ від 28.02.2023 № 174 «Деякі питання організації спроможної мережі закладів охорони здоров'я»</w:t>
      </w:r>
    </w:p>
    <w:p w:rsidR="00792239" w:rsidRPr="00F30A64" w:rsidRDefault="00792239" w:rsidP="00792239">
      <w:pPr>
        <w:spacing w:before="60" w:after="80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</w:rPr>
        <w:t>• Наказ МОЗ від 31.07.2020 № 1742 «Про затвердження Типової форми плану розвитку закладу охорони здоров'я»</w:t>
      </w:r>
    </w:p>
    <w:p w:rsidR="00792239" w:rsidRPr="00F30A64" w:rsidRDefault="00792239" w:rsidP="00792239">
      <w:pPr>
        <w:spacing w:before="60" w:after="80"/>
        <w:rPr>
          <w:rFonts w:ascii="Times New Roman" w:hAnsi="Times New Roman" w:cs="Times New Roman"/>
        </w:rPr>
      </w:pPr>
      <w:r w:rsidRPr="00F30A64">
        <w:rPr>
          <w:rFonts w:ascii="Times New Roman" w:hAnsi="Times New Roman" w:cs="Times New Roman"/>
        </w:rPr>
        <w:t>• Наказ МОЗ від 31.07.2020 № 1742 — Додаток 3 «Примірна структура плану розвитку ЗОЗ, що надає спеціалізовану/високоспеціалізовану медичну допомогу»</w:t>
      </w:r>
    </w:p>
    <w:p w:rsidR="00792239" w:rsidRPr="001C5197" w:rsidRDefault="00792239">
      <w:pPr>
        <w:rPr>
          <w:rFonts w:ascii="Times New Roman" w:hAnsi="Times New Roman" w:cs="Times New Roman"/>
          <w:b/>
          <w:sz w:val="26"/>
          <w:szCs w:val="26"/>
        </w:rPr>
      </w:pPr>
    </w:p>
    <w:sectPr w:rsidR="00792239" w:rsidRPr="001C5197" w:rsidSect="009306CB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15" w:rsidRDefault="00CE1615">
      <w:pPr>
        <w:spacing w:after="0" w:line="240" w:lineRule="auto"/>
      </w:pPr>
      <w:r>
        <w:separator/>
      </w:r>
    </w:p>
  </w:endnote>
  <w:endnote w:type="continuationSeparator" w:id="0">
    <w:p w:rsidR="00CE1615" w:rsidRDefault="00CE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45" w:rsidRDefault="00792239">
    <w:pPr>
      <w:pBdr>
        <w:top w:val="single" w:sz="6" w:space="4" w:color="2E75B6"/>
      </w:pBdr>
      <w:jc w:val="center"/>
    </w:pPr>
    <w:r>
      <w:rPr>
        <w:color w:val="555555"/>
        <w:sz w:val="18"/>
        <w:szCs w:val="18"/>
      </w:rPr>
      <w:t xml:space="preserve">Сторінка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353FE1">
      <w:rPr>
        <w:noProof/>
        <w:color w:val="555555"/>
        <w:sz w:val="18"/>
        <w:szCs w:val="18"/>
      </w:rPr>
      <w:t>14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із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353FE1">
      <w:rPr>
        <w:noProof/>
        <w:color w:val="555555"/>
        <w:sz w:val="18"/>
        <w:szCs w:val="18"/>
      </w:rPr>
      <w:t>28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15" w:rsidRDefault="00CE1615">
      <w:pPr>
        <w:spacing w:after="0" w:line="240" w:lineRule="auto"/>
      </w:pPr>
      <w:r>
        <w:separator/>
      </w:r>
    </w:p>
  </w:footnote>
  <w:footnote w:type="continuationSeparator" w:id="0">
    <w:p w:rsidR="00CE1615" w:rsidRDefault="00CE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45" w:rsidRDefault="00792239">
    <w:pPr>
      <w:pBdr>
        <w:bottom w:val="single" w:sz="6" w:space="4" w:color="2E75B6"/>
      </w:pBdr>
      <w:jc w:val="right"/>
    </w:pPr>
    <w:r>
      <w:rPr>
        <w:color w:val="555555"/>
        <w:sz w:val="18"/>
        <w:szCs w:val="18"/>
      </w:rPr>
      <w:t>Середньостроковий план розвитку — ЗАГАЛЬНИЙ  ЗАКЛАД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194"/>
    <w:multiLevelType w:val="hybridMultilevel"/>
    <w:tmpl w:val="DBBA0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39A5"/>
    <w:multiLevelType w:val="hybridMultilevel"/>
    <w:tmpl w:val="678252D6"/>
    <w:lvl w:ilvl="0" w:tplc="3034907C">
      <w:start w:val="1"/>
      <w:numFmt w:val="bullet"/>
      <w:lvlText w:val="●"/>
      <w:lvlJc w:val="left"/>
      <w:pPr>
        <w:ind w:left="720" w:hanging="360"/>
      </w:pPr>
    </w:lvl>
    <w:lvl w:ilvl="1" w:tplc="6C96297C">
      <w:start w:val="1"/>
      <w:numFmt w:val="bullet"/>
      <w:lvlText w:val="○"/>
      <w:lvlJc w:val="left"/>
      <w:pPr>
        <w:ind w:left="1440" w:hanging="360"/>
      </w:pPr>
    </w:lvl>
    <w:lvl w:ilvl="2" w:tplc="DDA0E71A">
      <w:start w:val="1"/>
      <w:numFmt w:val="bullet"/>
      <w:lvlText w:val="■"/>
      <w:lvlJc w:val="left"/>
      <w:pPr>
        <w:ind w:left="2160" w:hanging="360"/>
      </w:pPr>
    </w:lvl>
    <w:lvl w:ilvl="3" w:tplc="5310E8C8">
      <w:start w:val="1"/>
      <w:numFmt w:val="bullet"/>
      <w:lvlText w:val="●"/>
      <w:lvlJc w:val="left"/>
      <w:pPr>
        <w:ind w:left="2880" w:hanging="360"/>
      </w:pPr>
    </w:lvl>
    <w:lvl w:ilvl="4" w:tplc="05B08D42">
      <w:start w:val="1"/>
      <w:numFmt w:val="bullet"/>
      <w:lvlText w:val="○"/>
      <w:lvlJc w:val="left"/>
      <w:pPr>
        <w:ind w:left="3600" w:hanging="360"/>
      </w:pPr>
    </w:lvl>
    <w:lvl w:ilvl="5" w:tplc="B65ECEC2">
      <w:start w:val="1"/>
      <w:numFmt w:val="bullet"/>
      <w:lvlText w:val="■"/>
      <w:lvlJc w:val="left"/>
      <w:pPr>
        <w:ind w:left="4320" w:hanging="360"/>
      </w:pPr>
    </w:lvl>
    <w:lvl w:ilvl="6" w:tplc="63066168">
      <w:start w:val="1"/>
      <w:numFmt w:val="bullet"/>
      <w:lvlText w:val="●"/>
      <w:lvlJc w:val="left"/>
      <w:pPr>
        <w:ind w:left="5040" w:hanging="360"/>
      </w:pPr>
    </w:lvl>
    <w:lvl w:ilvl="7" w:tplc="285E0078">
      <w:start w:val="1"/>
      <w:numFmt w:val="bullet"/>
      <w:lvlText w:val="●"/>
      <w:lvlJc w:val="left"/>
      <w:pPr>
        <w:ind w:left="5760" w:hanging="360"/>
      </w:pPr>
    </w:lvl>
    <w:lvl w:ilvl="8" w:tplc="604237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97"/>
    <w:rsid w:val="000156A5"/>
    <w:rsid w:val="000264C5"/>
    <w:rsid w:val="000A31FE"/>
    <w:rsid w:val="000F18AF"/>
    <w:rsid w:val="000F52CD"/>
    <w:rsid w:val="001153B1"/>
    <w:rsid w:val="001C4843"/>
    <w:rsid w:val="001C5197"/>
    <w:rsid w:val="00282C77"/>
    <w:rsid w:val="00353FE1"/>
    <w:rsid w:val="004961DB"/>
    <w:rsid w:val="005A57E8"/>
    <w:rsid w:val="00601778"/>
    <w:rsid w:val="00614137"/>
    <w:rsid w:val="00792239"/>
    <w:rsid w:val="00884B94"/>
    <w:rsid w:val="008B3945"/>
    <w:rsid w:val="0093589A"/>
    <w:rsid w:val="009617BD"/>
    <w:rsid w:val="00B279F0"/>
    <w:rsid w:val="00B75C2E"/>
    <w:rsid w:val="00BF5B79"/>
    <w:rsid w:val="00C204DE"/>
    <w:rsid w:val="00CD073D"/>
    <w:rsid w:val="00CE1615"/>
    <w:rsid w:val="00CF473C"/>
    <w:rsid w:val="00E31D40"/>
    <w:rsid w:val="00F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AFF1"/>
  <w15:docId w15:val="{1F8EFDC6-F219-4E37-B9BC-4E08594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792239"/>
    <w:pPr>
      <w:spacing w:before="360" w:after="180" w:line="240" w:lineRule="auto"/>
      <w:outlineLvl w:val="0"/>
    </w:pPr>
    <w:rPr>
      <w:rFonts w:ascii="Arial" w:eastAsia="Arial" w:hAnsi="Arial" w:cs="Arial"/>
      <w:b/>
      <w:bCs/>
      <w:color w:val="FFFFFF"/>
      <w:sz w:val="28"/>
      <w:szCs w:val="28"/>
      <w:lang w:val="ru-RU" w:eastAsia="ru-RU"/>
    </w:rPr>
  </w:style>
  <w:style w:type="paragraph" w:styleId="2">
    <w:name w:val="heading 2"/>
    <w:link w:val="20"/>
    <w:uiPriority w:val="9"/>
    <w:unhideWhenUsed/>
    <w:qFormat/>
    <w:rsid w:val="00792239"/>
    <w:pPr>
      <w:spacing w:before="280" w:after="120" w:line="240" w:lineRule="auto"/>
      <w:outlineLvl w:val="1"/>
    </w:pPr>
    <w:rPr>
      <w:rFonts w:ascii="Arial" w:eastAsia="Arial" w:hAnsi="Arial" w:cs="Arial"/>
      <w:b/>
      <w:bCs/>
      <w:color w:val="1F4E79"/>
      <w:sz w:val="24"/>
      <w:szCs w:val="24"/>
      <w:lang w:val="ru-RU" w:eastAsia="ru-RU"/>
    </w:rPr>
  </w:style>
  <w:style w:type="paragraph" w:styleId="3">
    <w:name w:val="heading 3"/>
    <w:link w:val="30"/>
    <w:uiPriority w:val="9"/>
    <w:semiHidden/>
    <w:unhideWhenUsed/>
    <w:qFormat/>
    <w:rsid w:val="00792239"/>
    <w:pPr>
      <w:spacing w:before="200" w:after="80" w:line="240" w:lineRule="auto"/>
      <w:outlineLvl w:val="2"/>
    </w:pPr>
    <w:rPr>
      <w:rFonts w:ascii="Arial" w:eastAsia="Arial" w:hAnsi="Arial" w:cs="Arial"/>
      <w:b/>
      <w:bCs/>
      <w:color w:val="2E75B6"/>
      <w:lang w:val="ru-RU" w:eastAsia="ru-RU"/>
    </w:rPr>
  </w:style>
  <w:style w:type="paragraph" w:styleId="4">
    <w:name w:val="heading 4"/>
    <w:link w:val="40"/>
    <w:uiPriority w:val="9"/>
    <w:semiHidden/>
    <w:unhideWhenUsed/>
    <w:qFormat/>
    <w:rsid w:val="00792239"/>
    <w:pPr>
      <w:spacing w:after="0" w:line="240" w:lineRule="auto"/>
      <w:outlineLvl w:val="3"/>
    </w:pPr>
    <w:rPr>
      <w:rFonts w:ascii="Arial" w:eastAsia="Arial" w:hAnsi="Arial" w:cs="Arial"/>
      <w:i/>
      <w:iCs/>
      <w:color w:val="2E74B5"/>
      <w:lang w:val="ru-RU" w:eastAsia="ru-RU"/>
    </w:rPr>
  </w:style>
  <w:style w:type="paragraph" w:styleId="5">
    <w:name w:val="heading 5"/>
    <w:link w:val="50"/>
    <w:uiPriority w:val="9"/>
    <w:semiHidden/>
    <w:unhideWhenUsed/>
    <w:qFormat/>
    <w:rsid w:val="00792239"/>
    <w:pPr>
      <w:spacing w:after="0" w:line="240" w:lineRule="auto"/>
      <w:outlineLvl w:val="4"/>
    </w:pPr>
    <w:rPr>
      <w:rFonts w:ascii="Arial" w:eastAsia="Arial" w:hAnsi="Arial" w:cs="Arial"/>
      <w:color w:val="2E74B5"/>
      <w:lang w:val="ru-RU" w:eastAsia="ru-RU"/>
    </w:rPr>
  </w:style>
  <w:style w:type="paragraph" w:styleId="6">
    <w:name w:val="heading 6"/>
    <w:link w:val="60"/>
    <w:uiPriority w:val="9"/>
    <w:semiHidden/>
    <w:unhideWhenUsed/>
    <w:qFormat/>
    <w:rsid w:val="00792239"/>
    <w:pPr>
      <w:spacing w:after="0" w:line="240" w:lineRule="auto"/>
      <w:outlineLvl w:val="5"/>
    </w:pPr>
    <w:rPr>
      <w:rFonts w:ascii="Arial" w:eastAsia="Arial" w:hAnsi="Arial" w:cs="Arial"/>
      <w:color w:val="1F4D7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5197"/>
    <w:rPr>
      <w:b/>
      <w:bCs/>
    </w:rPr>
  </w:style>
  <w:style w:type="character" w:styleId="a5">
    <w:name w:val="Hyperlink"/>
    <w:basedOn w:val="a0"/>
    <w:uiPriority w:val="99"/>
    <w:unhideWhenUsed/>
    <w:rsid w:val="001C51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73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92239"/>
    <w:rPr>
      <w:rFonts w:ascii="Arial" w:eastAsia="Arial" w:hAnsi="Arial" w:cs="Arial"/>
      <w:b/>
      <w:bCs/>
      <w:color w:val="FFFFF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92239"/>
    <w:rPr>
      <w:rFonts w:ascii="Arial" w:eastAsia="Arial" w:hAnsi="Arial" w:cs="Arial"/>
      <w:b/>
      <w:bCs/>
      <w:color w:val="1F4E79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2239"/>
    <w:rPr>
      <w:rFonts w:ascii="Arial" w:eastAsia="Arial" w:hAnsi="Arial" w:cs="Arial"/>
      <w:b/>
      <w:bCs/>
      <w:color w:val="2E75B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2239"/>
    <w:rPr>
      <w:rFonts w:ascii="Arial" w:eastAsia="Arial" w:hAnsi="Arial" w:cs="Arial"/>
      <w:i/>
      <w:iCs/>
      <w:color w:val="2E74B5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92239"/>
    <w:rPr>
      <w:rFonts w:ascii="Arial" w:eastAsia="Arial" w:hAnsi="Arial" w:cs="Arial"/>
      <w:color w:val="2E74B5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2239"/>
    <w:rPr>
      <w:rFonts w:ascii="Arial" w:eastAsia="Arial" w:hAnsi="Arial" w:cs="Arial"/>
      <w:color w:val="1F4D78"/>
      <w:lang w:val="ru-RU" w:eastAsia="ru-RU"/>
    </w:rPr>
  </w:style>
  <w:style w:type="paragraph" w:styleId="a8">
    <w:name w:val="Title"/>
    <w:link w:val="a9"/>
    <w:uiPriority w:val="10"/>
    <w:qFormat/>
    <w:rsid w:val="00792239"/>
    <w:pPr>
      <w:spacing w:after="0" w:line="240" w:lineRule="auto"/>
    </w:pPr>
    <w:rPr>
      <w:rFonts w:ascii="Arial" w:eastAsia="Arial" w:hAnsi="Arial" w:cs="Arial"/>
      <w:sz w:val="56"/>
      <w:szCs w:val="56"/>
      <w:lang w:val="ru-RU" w:eastAsia="ru-RU"/>
    </w:rPr>
  </w:style>
  <w:style w:type="character" w:customStyle="1" w:styleId="a9">
    <w:name w:val="Заголовок Знак"/>
    <w:basedOn w:val="a0"/>
    <w:link w:val="a8"/>
    <w:uiPriority w:val="10"/>
    <w:rsid w:val="00792239"/>
    <w:rPr>
      <w:rFonts w:ascii="Arial" w:eastAsia="Arial" w:hAnsi="Arial" w:cs="Arial"/>
      <w:sz w:val="56"/>
      <w:szCs w:val="56"/>
      <w:lang w:val="ru-RU" w:eastAsia="ru-RU"/>
    </w:rPr>
  </w:style>
  <w:style w:type="paragraph" w:customStyle="1" w:styleId="11">
    <w:name w:val="Строгий1"/>
    <w:qFormat/>
    <w:rsid w:val="00792239"/>
    <w:pPr>
      <w:spacing w:after="0" w:line="240" w:lineRule="auto"/>
    </w:pPr>
    <w:rPr>
      <w:rFonts w:ascii="Arial" w:eastAsia="Arial" w:hAnsi="Arial" w:cs="Arial"/>
      <w:b/>
      <w:bCs/>
      <w:lang w:val="ru-RU" w:eastAsia="ru-RU"/>
    </w:rPr>
  </w:style>
  <w:style w:type="paragraph" w:styleId="aa">
    <w:name w:val="List Paragraph"/>
    <w:qFormat/>
    <w:rsid w:val="00792239"/>
    <w:pPr>
      <w:spacing w:after="0" w:line="240" w:lineRule="auto"/>
    </w:pPr>
    <w:rPr>
      <w:rFonts w:ascii="Arial" w:eastAsia="Arial" w:hAnsi="Arial" w:cs="Arial"/>
      <w:lang w:val="ru-RU" w:eastAsia="ru-RU"/>
    </w:rPr>
  </w:style>
  <w:style w:type="character" w:styleId="ab">
    <w:name w:val="footnote reference"/>
    <w:uiPriority w:val="99"/>
    <w:semiHidden/>
    <w:unhideWhenUsed/>
    <w:rsid w:val="00792239"/>
    <w:rPr>
      <w:vertAlign w:val="superscript"/>
    </w:rPr>
  </w:style>
  <w:style w:type="paragraph" w:styleId="ac">
    <w:name w:val="footnote text"/>
    <w:link w:val="ad"/>
    <w:uiPriority w:val="99"/>
    <w:semiHidden/>
    <w:unhideWhenUsed/>
    <w:rsid w:val="00792239"/>
    <w:pPr>
      <w:spacing w:after="0" w:line="240" w:lineRule="auto"/>
    </w:pPr>
    <w:rPr>
      <w:rFonts w:ascii="Arial" w:eastAsia="Arial" w:hAnsi="Arial" w:cs="Arial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92239"/>
    <w:rPr>
      <w:rFonts w:ascii="Arial" w:eastAsia="Arial" w:hAnsi="Arial" w:cs="Arial"/>
      <w:sz w:val="20"/>
      <w:szCs w:val="20"/>
      <w:lang w:val="ru-RU" w:eastAsia="ru-RU"/>
    </w:rPr>
  </w:style>
  <w:style w:type="character" w:styleId="ae">
    <w:name w:val="endnote reference"/>
    <w:uiPriority w:val="99"/>
    <w:semiHidden/>
    <w:unhideWhenUsed/>
    <w:rsid w:val="00792239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792239"/>
    <w:pPr>
      <w:spacing w:after="0" w:line="240" w:lineRule="auto"/>
    </w:pPr>
    <w:rPr>
      <w:rFonts w:ascii="Arial" w:eastAsia="Arial" w:hAnsi="Arial" w:cs="Arial"/>
      <w:sz w:val="20"/>
      <w:szCs w:val="20"/>
      <w:lang w:val="ru-RU"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2239"/>
    <w:rPr>
      <w:rFonts w:ascii="Arial" w:eastAsia="Arial" w:hAnsi="Arial" w:cs="Arial"/>
      <w:sz w:val="20"/>
      <w:szCs w:val="20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79223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92239"/>
    <w:rPr>
      <w:rFonts w:ascii="Arial" w:eastAsia="Arial" w:hAnsi="Arial" w:cs="Arial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79223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92239"/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28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StaySha</cp:lastModifiedBy>
  <cp:revision>14</cp:revision>
  <cp:lastPrinted>2026-04-22T07:02:00Z</cp:lastPrinted>
  <dcterms:created xsi:type="dcterms:W3CDTF">2026-04-07T05:30:00Z</dcterms:created>
  <dcterms:modified xsi:type="dcterms:W3CDTF">2026-04-22T07:45:00Z</dcterms:modified>
</cp:coreProperties>
</file>