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Миколаївського району, Миколаївської області,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FLNPVP9BncwFKjAchvAx7Bt0w==">CgMxLjA4AHIhMUFvR3ViZjJjZEp3MjRucUJUWjRwblJhS3V5a0pYWUxH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2024-09-09T08:07:00Z</dcterms:created>
  <dc:creator>User</dc:creator>
</cp:coreProperties>
</file>