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Особі, ______ р.н.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sz w:val="28"/>
          <w:szCs w:val="28"/>
          <w:rtl w:val="0"/>
        </w:rPr>
        <w:t xml:space="preserve">Особа, ______ р.н.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Новоодеським відділом реєстрації актів цивільного стану Новоодеського районного управління юстиції Миколаївської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фактично проживав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м.Мукачево, зазнав психологічного насильства внаслідок внутрішнього переміщення з метою уникнення негативних наслідків збройного конфлікту ,довідка про взяття на облік внутрішньо переміщеної особи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року.Враховуючи протокол засідання комісії з питань захисту прав дитини від 05.09.2024 № 15,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sz w:val="28"/>
          <w:szCs w:val="28"/>
          <w:rtl w:val="0"/>
        </w:rPr>
        <w:t xml:space="preserve">Особі, ______ р.н.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Te6It3ENPTjNLw8X6LUqvB4RiA==">CgMxLjA4AHIhMUhoMU9uTjYxRi00QzBiNm5WQTBLckVTcW9ESmljaEgw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2024-09-09T11:52:00Z</dcterms:created>
  <dc:creator>User</dc:creator>
</cp:coreProperties>
</file>