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реєстрації актів цивільного стану Новоодеського районного управління юстиції Миколаївської області ,зареєстроване місце проживання : вул.Сагайдачного,45, смт.Високопілля, Береславський район, Херсонська область, фактично проживає по вул.Маяковського,17, м.Нова Одеса, Миколаївський район, Миколаївська область, довідка про взяття на облік внутрішньо переміщеної особи №6117-5000477426 від 24.03.2022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Квітко Елізі Вікторівні, 29 вересня 2010 року народження,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xu961Q8fQXjTJNULokVXkPjCw==">CgMxLjA4AHIhMTB4dy1WczExa0pIU2FXU2RKY3FpU3JYOTVEdmdBV1Jn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2024-09-09T11:33:00Z</dcterms:created>
  <dc:creator>User</dc:creator>
</cp:coreProperties>
</file>