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міського управління юстиції,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rEQZrlAuBWnTjy0ZADoeJdRbA==">CgMxLjA4AHIhMWhlQnc1NXdwVERYUDRlaU1GdFh2dDEycloyOFFNMmdT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2024-11-12T10:11:00Z</dcterms:created>
  <dc:creator>User</dc:creator>
</cp:coreProperties>
</file>