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eQPE+UWtgkFL66wXy8IfFqYfvg==">CgMxLjA4AHIhMUVsRGRCTkJoWk5ySmtnQjlfSzQzcGh2MFVPTWFrTkty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2025-03-03T09:13:00Z</dcterms:created>
  <dc:creator>User</dc:creator>
</cp:coreProperties>
</file>