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0"/>
        <w:jc w:val="both"/>
        <w:rPr>
          <w:sz w:val="28"/>
          <w:szCs w:val="28"/>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 , зареєстроване місце проживання :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фактично проживала по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с.Жабокричка, Вінницька область, довідка про взяття на облік внутрішньо переміщеної особи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зазнала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02.04.2025 № 4,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40n280QNv45qqzwimkQaIaxSOA==">CgMxLjA4AHIhMXpsbzJtRzJuUlRfck93OVZISHFvRVZiR01scktLQjJk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2025-04-10T13:36:00Z</dcterms:created>
  <dc:creator>User</dc:creator>
</cp:coreProperties>
</file>