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міським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02.04.2025 року №4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COz/4u6z7gjlbu7SQwbEhHgG3Q==">CgMxLjA4AHIhMXFfeVU5bHlYUG1yaHZkVXRTYTNRYWVRbV8yb0lLUUxy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2025-04-11T08:49:00Z</dcterms:created>
  <dc:creator>User</dc:creator>
</cp:coreProperties>
</file>