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районні Миколаївської області Південного міжрегіонального управління Міністерства юстиції,( м.Одеса ); 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wQkYd56Ppb/F2V1A/XI1/5qxg==">CgMxLjA4AHIhMV9rY1JYX2N0RUNCZ0RBN2FhbXVpZGZuSHFXZGpTQ1lz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