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B514B7" w:rsidP="00CC1F95">
      <w:pPr>
        <w:pStyle w:val="a3"/>
        <w:ind w:left="4111"/>
        <w:rPr>
          <w:sz w:val="23"/>
          <w:szCs w:val="24"/>
        </w:rPr>
      </w:pPr>
      <w:r w:rsidRPr="00B514B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F74E93" w:rsidRDefault="00CC1F95" w:rsidP="00CC1F95">
      <w:pPr>
        <w:pStyle w:val="a3"/>
        <w:ind w:left="1124" w:right="1149"/>
      </w:pPr>
      <w:r w:rsidRPr="00F74E93">
        <w:t xml:space="preserve">                       </w:t>
      </w:r>
      <w:r w:rsidR="00F74E93">
        <w:t xml:space="preserve">     </w:t>
      </w:r>
      <w:r w:rsidR="0055705E" w:rsidRPr="00F74E93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5705E" w:rsidP="0055705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 </w:t>
      </w:r>
      <w:r w:rsidRPr="000F398B">
        <w:rPr>
          <w:sz w:val="24"/>
          <w:szCs w:val="24"/>
        </w:rPr>
        <w:t xml:space="preserve">   №24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0F398B" w:rsidRPr="00BE109C" w:rsidRDefault="000F398B" w:rsidP="000F398B">
      <w:pPr>
        <w:pStyle w:val="a5"/>
        <w:rPr>
          <w:b/>
        </w:rPr>
      </w:pPr>
      <w:r w:rsidRPr="00BE109C">
        <w:rPr>
          <w:b/>
        </w:rPr>
        <w:t xml:space="preserve">Про результати фінансово-господарської </w:t>
      </w:r>
    </w:p>
    <w:p w:rsidR="000F398B" w:rsidRPr="00BE109C" w:rsidRDefault="000F398B" w:rsidP="000F398B">
      <w:pPr>
        <w:pStyle w:val="a5"/>
        <w:rPr>
          <w:b/>
        </w:rPr>
      </w:pPr>
      <w:r w:rsidRPr="00BE109C">
        <w:rPr>
          <w:b/>
        </w:rPr>
        <w:t xml:space="preserve">діяльності комунальних підприємств </w:t>
      </w:r>
    </w:p>
    <w:p w:rsidR="000F398B" w:rsidRPr="00BE109C" w:rsidRDefault="000F398B" w:rsidP="000F398B">
      <w:pPr>
        <w:pStyle w:val="a5"/>
      </w:pPr>
      <w:r w:rsidRPr="00BE109C">
        <w:rPr>
          <w:b/>
        </w:rPr>
        <w:t>міста за 2020 рік</w:t>
      </w:r>
    </w:p>
    <w:p w:rsidR="000F398B" w:rsidRPr="00BE109C" w:rsidRDefault="000F398B" w:rsidP="000F398B"/>
    <w:p w:rsidR="000F398B" w:rsidRPr="00BE109C" w:rsidRDefault="000F398B" w:rsidP="000F398B">
      <w:pPr>
        <w:pStyle w:val="a5"/>
        <w:jc w:val="both"/>
      </w:pPr>
      <w:r w:rsidRPr="00BE109C">
        <w:t xml:space="preserve">   </w:t>
      </w:r>
      <w:r w:rsidRPr="00BE109C">
        <w:tab/>
        <w:t>Заслухавши інформацію керівників комунальних підприємств міста «Правопорядок», «</w:t>
      </w:r>
      <w:proofErr w:type="spellStart"/>
      <w:r w:rsidRPr="00BE109C">
        <w:t>Прибузьке</w:t>
      </w:r>
      <w:proofErr w:type="spellEnd"/>
      <w:r w:rsidRPr="00BE109C">
        <w:t>» та «</w:t>
      </w:r>
      <w:proofErr w:type="spellStart"/>
      <w:r w:rsidRPr="00BE109C">
        <w:t>Новоодеський</w:t>
      </w:r>
      <w:proofErr w:type="spellEnd"/>
      <w:r w:rsidRPr="00BE109C">
        <w:t xml:space="preserve"> міський водоканал» Михайла </w:t>
      </w:r>
      <w:proofErr w:type="spellStart"/>
      <w:r w:rsidRPr="00BE109C">
        <w:t>Дзензури</w:t>
      </w:r>
      <w:proofErr w:type="spellEnd"/>
      <w:r w:rsidRPr="00BE109C">
        <w:t xml:space="preserve">  та Олександра Савченка, відповідно до статті 29 Закону України  </w:t>
      </w:r>
      <w:proofErr w:type="spellStart"/>
      <w:r w:rsidRPr="00BE109C">
        <w:t>“Про</w:t>
      </w:r>
      <w:proofErr w:type="spellEnd"/>
      <w:r w:rsidRPr="00BE109C">
        <w:t xml:space="preserve"> місцеве самоврядування в </w:t>
      </w:r>
      <w:proofErr w:type="spellStart"/>
      <w:r w:rsidRPr="00BE109C">
        <w:t>Україні”</w:t>
      </w:r>
      <w:proofErr w:type="spellEnd"/>
      <w:r w:rsidRPr="00BE109C">
        <w:t>, виконавчий комітет міської ради</w:t>
      </w:r>
    </w:p>
    <w:p w:rsidR="000F398B" w:rsidRPr="006F7615" w:rsidRDefault="000F398B" w:rsidP="000F398B">
      <w:pPr>
        <w:pStyle w:val="a5"/>
        <w:jc w:val="both"/>
        <w:rPr>
          <w:b/>
          <w:bCs/>
        </w:rPr>
      </w:pPr>
      <w:r w:rsidRPr="006F7615">
        <w:rPr>
          <w:b/>
          <w:bCs/>
        </w:rPr>
        <w:t>ВИРІШИВ:</w:t>
      </w:r>
    </w:p>
    <w:p w:rsidR="000F398B" w:rsidRPr="00BE109C" w:rsidRDefault="000F398B" w:rsidP="000F398B">
      <w:pPr>
        <w:pStyle w:val="a5"/>
        <w:jc w:val="both"/>
        <w:rPr>
          <w:bCs/>
        </w:rPr>
      </w:pP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BE109C">
        <w:t xml:space="preserve">Інформацію про результати фінансово-господарської діяльності комунальних підприємств міста за 2020 рік взяти до відома (додається). </w:t>
      </w: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BE109C">
        <w:t>Затвердити фінансові плани комунальних підприємств на 2021 рік.</w:t>
      </w: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BE109C">
        <w:t>Доручити керівникам комунальних підприємств міста (</w:t>
      </w:r>
      <w:proofErr w:type="spellStart"/>
      <w:r w:rsidRPr="00BE109C">
        <w:t>Дзензурі</w:t>
      </w:r>
      <w:proofErr w:type="spellEnd"/>
      <w:r w:rsidRPr="00BE109C">
        <w:t>, Савченку) вжити дієвих заходів щодо:</w:t>
      </w:r>
    </w:p>
    <w:p w:rsidR="000F398B" w:rsidRPr="00BE109C" w:rsidRDefault="000F398B" w:rsidP="000F398B">
      <w:pPr>
        <w:pStyle w:val="a6"/>
        <w:spacing w:before="0" w:beforeAutospacing="0" w:after="0" w:afterAutospacing="0"/>
        <w:jc w:val="both"/>
        <w:rPr>
          <w:lang w:val="uk-UA"/>
        </w:rPr>
      </w:pPr>
      <w:r w:rsidRPr="00BE109C">
        <w:rPr>
          <w:lang w:val="uk-UA"/>
        </w:rPr>
        <w:t>3.1 недопущення виникнення заборгованості з виплати заробітної плати;</w:t>
      </w:r>
      <w:r w:rsidRPr="00BE109C">
        <w:rPr>
          <w:lang w:val="uk-UA"/>
        </w:rPr>
        <w:br/>
        <w:t>3.2  виконання  фінансових планів комунальних підприємств  протягом 2021 року;</w:t>
      </w:r>
    </w:p>
    <w:p w:rsidR="000F398B" w:rsidRDefault="000F398B" w:rsidP="000F398B">
      <w:pPr>
        <w:tabs>
          <w:tab w:val="num" w:pos="0"/>
        </w:tabs>
      </w:pPr>
      <w:r w:rsidRPr="00BE109C">
        <w:t>3.3 забезпечення беззбиткової діяльності підприємства;</w:t>
      </w:r>
      <w:r w:rsidRPr="00BE109C">
        <w:br/>
        <w:t>3.4  забезпечення стовідсоткових розрахунків по виплатам до бюджетів усіх рівнів;</w:t>
      </w:r>
      <w:r w:rsidRPr="00BE109C">
        <w:br/>
        <w:t xml:space="preserve">3.5  здійснення </w:t>
      </w:r>
      <w:r>
        <w:t xml:space="preserve">заборони </w:t>
      </w:r>
      <w:r w:rsidRPr="00BE109C">
        <w:t>видатків підприємств, незабезпечених доходами та не</w:t>
      </w:r>
      <w:r>
        <w:t xml:space="preserve"> </w:t>
      </w:r>
      <w:r w:rsidRPr="00BE109C">
        <w:t>передбачених у фінансовому плані підприємства.</w:t>
      </w:r>
    </w:p>
    <w:p w:rsidR="000F398B" w:rsidRPr="00BE109C" w:rsidRDefault="000F398B" w:rsidP="000F398B">
      <w:pPr>
        <w:tabs>
          <w:tab w:val="num" w:pos="0"/>
        </w:tabs>
      </w:pPr>
      <w:r>
        <w:t xml:space="preserve">4. </w:t>
      </w:r>
      <w:r w:rsidRPr="00BE109C">
        <w:t xml:space="preserve">Контроль за виконанням даного рішення покласти на заступників міського голови Світлану Злу та  </w:t>
      </w:r>
      <w:proofErr w:type="spellStart"/>
      <w:r w:rsidRPr="00BE109C">
        <w:t>Ігора</w:t>
      </w:r>
      <w:proofErr w:type="spellEnd"/>
      <w:r w:rsidRPr="00BE109C">
        <w:t xml:space="preserve"> Журбу.</w:t>
      </w:r>
    </w:p>
    <w:p w:rsidR="000F398B" w:rsidRPr="00BE109C" w:rsidRDefault="000F398B" w:rsidP="000F398B">
      <w:pPr>
        <w:jc w:val="both"/>
      </w:pPr>
    </w:p>
    <w:p w:rsidR="000F398B" w:rsidRDefault="000F398B" w:rsidP="000F398B">
      <w:pPr>
        <w:pStyle w:val="6"/>
        <w:rPr>
          <w:bCs w:val="0"/>
          <w:sz w:val="24"/>
          <w:szCs w:val="24"/>
          <w:lang w:val="uk-UA"/>
        </w:rPr>
      </w:pPr>
      <w:r w:rsidRPr="00BE109C">
        <w:rPr>
          <w:bCs w:val="0"/>
          <w:sz w:val="24"/>
          <w:szCs w:val="24"/>
          <w:lang w:val="uk-UA"/>
        </w:rPr>
        <w:t xml:space="preserve">          </w:t>
      </w:r>
    </w:p>
    <w:p w:rsidR="000F398B" w:rsidRDefault="000F398B" w:rsidP="000F398B">
      <w:pPr>
        <w:pStyle w:val="6"/>
        <w:jc w:val="center"/>
        <w:rPr>
          <w:bCs w:val="0"/>
          <w:sz w:val="24"/>
          <w:szCs w:val="24"/>
          <w:lang w:val="uk-UA"/>
        </w:rPr>
      </w:pPr>
      <w:r w:rsidRPr="00BE109C">
        <w:rPr>
          <w:bCs w:val="0"/>
          <w:sz w:val="24"/>
          <w:szCs w:val="24"/>
          <w:lang w:val="uk-UA"/>
        </w:rPr>
        <w:t>Міський голова</w:t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  <w:t xml:space="preserve">    Олександр ПОЛЯКОВ</w:t>
      </w: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 xml:space="preserve">Аналіз фінансово - господарської </w:t>
      </w:r>
      <w:proofErr w:type="spellStart"/>
      <w:r w:rsidRPr="00BE109C">
        <w:rPr>
          <w:b/>
        </w:rPr>
        <w:t>діяльністі</w:t>
      </w:r>
      <w:proofErr w:type="spellEnd"/>
      <w:r w:rsidRPr="00BE109C">
        <w:rPr>
          <w:b/>
        </w:rPr>
        <w:t xml:space="preserve"> </w:t>
      </w: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«Правопорядок»</w:t>
      </w: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>за 2020 рік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260"/>
        <w:gridCol w:w="1344"/>
        <w:gridCol w:w="996"/>
      </w:tblGrid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рік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2019 рік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2020/</w:t>
            </w:r>
          </w:p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2019, %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ДОХОДИ ВСЬОГО, в т.ч., тис. грн.: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4970,3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4133,9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120,2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1.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Власні доходи підприємства,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3204,3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2364,3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135,5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Ритуальні послуги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224,4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258,5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86,8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Доходи від вивезення ТПВ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1104,4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637,8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Видача довідок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63,7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дозволів на земельні роботи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14,3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20,5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69,7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Утримання торгового місця (ярмарки, сезонна виносна торгівля)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44,9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19,8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226,8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  актів обстеження поштової адреси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9,5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80,5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За збереження будівельних матеріалів(в т.ч. облаштування тимчасової огорожі)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15,0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14,0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107,1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будинкової книги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106,7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По актам виконаних робіт за рахунок коштів бюджету(освітлення, утримання світлофору,благоустрій кладовищ, зимове утримання доріг 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1776,0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1331,5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133,4</w:t>
            </w:r>
          </w:p>
        </w:tc>
      </w:tr>
      <w:tr w:rsidR="000F398B" w:rsidRPr="00BE109C" w:rsidTr="00450996">
        <w:trPr>
          <w:trHeight w:val="647"/>
        </w:trPr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Інші доходи (послуги автотранспорту, розм. реклами)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49,5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41 р. менше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2.</w:t>
            </w:r>
          </w:p>
        </w:tc>
        <w:tc>
          <w:tcPr>
            <w:tcW w:w="5220" w:type="dxa"/>
          </w:tcPr>
          <w:p w:rsidR="000F398B" w:rsidRPr="00BE109C" w:rsidRDefault="000F398B" w:rsidP="00450996">
            <w:r w:rsidRPr="00BE109C">
              <w:t>Поворотна фінансова допомога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80,0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70,0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114,3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3.</w:t>
            </w:r>
          </w:p>
        </w:tc>
        <w:tc>
          <w:tcPr>
            <w:tcW w:w="5220" w:type="dxa"/>
          </w:tcPr>
          <w:p w:rsidR="000F398B" w:rsidRPr="00BE109C" w:rsidRDefault="000F398B" w:rsidP="00450996">
            <w:r w:rsidRPr="00BE109C">
              <w:t xml:space="preserve">Компенсація за використані енергоносії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8,7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10,9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79,8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4.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rPr>
                <w:b/>
                <w:i/>
              </w:rPr>
            </w:pPr>
            <w:r w:rsidRPr="00BE109C">
              <w:rPr>
                <w:b/>
                <w:i/>
              </w:rPr>
              <w:t>Дотація з міського бюджету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1677,2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1688,7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99,5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ВИДАТКИ ВСЬОГО, в т.ч., тис. грн.: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4952,9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4117,8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120,3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2581,8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2125,3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Нарахування на зарплату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562,8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463,8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646,7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472,6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136,8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Електроенергія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120,0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107,8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111,3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5.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зв’язку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4,1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3,4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120,6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6.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proofErr w:type="spellStart"/>
            <w:r w:rsidRPr="00BE109C">
              <w:t>Паливно</w:t>
            </w:r>
            <w:proofErr w:type="spellEnd"/>
            <w:r w:rsidRPr="00BE109C">
              <w:t xml:space="preserve"> мастильні матеріали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404,1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433,9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93,1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7.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Податки і збори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318,6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210,3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151,5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8.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Запасні частини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145,9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120,2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121,4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9.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видатки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168,8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180,5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93,5</w:t>
            </w:r>
          </w:p>
        </w:tc>
      </w:tr>
    </w:tbl>
    <w:p w:rsidR="000F398B" w:rsidRPr="00BE109C" w:rsidRDefault="000F398B" w:rsidP="000F398B">
      <w:pPr>
        <w:ind w:firstLine="708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lastRenderedPageBreak/>
        <w:t>Аналіз показників фінансово-господарської  діяльності</w:t>
      </w:r>
    </w:p>
    <w:p w:rsidR="000F398B" w:rsidRPr="00BE109C" w:rsidRDefault="000F398B" w:rsidP="000F398B">
      <w:pPr>
        <w:pStyle w:val="a5"/>
        <w:jc w:val="center"/>
      </w:pP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</w:t>
      </w:r>
      <w:proofErr w:type="spellStart"/>
      <w:r w:rsidRPr="00BE109C">
        <w:rPr>
          <w:b/>
        </w:rPr>
        <w:t>Прибузьке</w:t>
      </w:r>
      <w:proofErr w:type="spellEnd"/>
      <w:r w:rsidRPr="00BE109C">
        <w:rPr>
          <w:b/>
        </w:rPr>
        <w:t>» за 2020 рік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12"/>
        <w:gridCol w:w="1830"/>
        <w:gridCol w:w="1620"/>
        <w:gridCol w:w="1371"/>
      </w:tblGrid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2020 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до 2019,%</w:t>
            </w:r>
          </w:p>
        </w:tc>
      </w:tr>
      <w:tr w:rsidR="000F398B" w:rsidRPr="00BE109C" w:rsidTr="00450996">
        <w:tc>
          <w:tcPr>
            <w:tcW w:w="8208" w:type="dxa"/>
            <w:gridSpan w:val="4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                           ДОХОДИ 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ВСЬОГО, в т.ч.  тис. грн.: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1358,3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1477,0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92,0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ВЛАСНІ ДОХОДИ, з них: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1242,0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1115,9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111,3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1)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t>Плата за водовідведення, в т.ч.: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1172,6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962,3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121,8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фізичних осіб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91,7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88,5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103,6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юридичних осіб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1056,5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853,3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123,8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приватних підприємців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96,0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бюджетних установ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19,5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15,4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126,6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2)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Плата за приймання стоків 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66,2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65,9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100,4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3)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доходи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185,7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87,7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211,7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2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Дотація міського бюджету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361,1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3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Фінансова допомога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86,3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4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Повернення позики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70,0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42,8</w:t>
            </w:r>
          </w:p>
        </w:tc>
      </w:tr>
      <w:tr w:rsidR="000F398B" w:rsidRPr="00BE109C" w:rsidTr="00450996">
        <w:trPr>
          <w:trHeight w:val="451"/>
        </w:trPr>
        <w:tc>
          <w:tcPr>
            <w:tcW w:w="8208" w:type="dxa"/>
            <w:gridSpan w:val="4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                              ВИДАТКИ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ВСЬОГО, в т.ч., тис. грн.: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1261,5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1460,1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86,3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584,0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511,2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114,2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Відрахування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130,2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112,9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115,3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Матеріали, е/товари, ПММ, запчастини, спецодяг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85,1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94,3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90,2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4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Електроенергія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79,1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101,4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5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зв’язку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3,3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3,2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103,1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6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послуги (в т.ч. проведення аналізу стоків)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29,3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48,2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60,8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7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Канцтовари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3,2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61,5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8</w:t>
            </w:r>
          </w:p>
        </w:tc>
        <w:tc>
          <w:tcPr>
            <w:tcW w:w="4112" w:type="dxa"/>
          </w:tcPr>
          <w:p w:rsidR="000F398B" w:rsidRPr="00BE109C" w:rsidRDefault="000F398B" w:rsidP="00450996">
            <w:r w:rsidRPr="00BE109C">
              <w:t>Касове обслуговування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5,3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4,1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129,3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9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Відрядження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2,2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104,5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10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Податки і збори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241,7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116,9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206,7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11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Придбання основних засобів  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16,9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160,1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12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Оплата послуг з очищення каналізаційного колектора та мережі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252,7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13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Поворотна фінансова допомога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70,0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114,3</w:t>
            </w:r>
          </w:p>
        </w:tc>
      </w:tr>
    </w:tbl>
    <w:p w:rsidR="000F398B" w:rsidRPr="00BE109C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lastRenderedPageBreak/>
        <w:t>Аналіз показників фінансово-господарської  діяльності</w:t>
      </w:r>
    </w:p>
    <w:p w:rsidR="000F398B" w:rsidRPr="00BE109C" w:rsidRDefault="000F398B" w:rsidP="000F398B">
      <w:pPr>
        <w:pStyle w:val="a5"/>
        <w:jc w:val="center"/>
        <w:rPr>
          <w:b/>
        </w:rPr>
      </w:pP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</w:t>
      </w:r>
      <w:proofErr w:type="spellStart"/>
      <w:r w:rsidRPr="00BE109C">
        <w:rPr>
          <w:b/>
        </w:rPr>
        <w:t>Новоодеський</w:t>
      </w:r>
      <w:proofErr w:type="spellEnd"/>
      <w:r w:rsidRPr="00BE109C">
        <w:rPr>
          <w:b/>
        </w:rPr>
        <w:t xml:space="preserve"> міськводоканал» за 2020 рік</w:t>
      </w:r>
    </w:p>
    <w:p w:rsidR="000F398B" w:rsidRPr="00BE109C" w:rsidRDefault="000F398B" w:rsidP="000F398B">
      <w:pPr>
        <w:ind w:firstLine="54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7"/>
        <w:gridCol w:w="1443"/>
        <w:gridCol w:w="1800"/>
        <w:gridCol w:w="1620"/>
      </w:tblGrid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2020 рік  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 рік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до 2019,%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ДОХОДИ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ВСЬОГО, в т.ч., </w:t>
            </w:r>
            <w:r w:rsidRPr="00BE109C">
              <w:rPr>
                <w:i/>
              </w:rPr>
              <w:t>(тис. грн.)</w:t>
            </w:r>
            <w:r w:rsidRPr="00BE109C">
              <w:rPr>
                <w:b/>
                <w:i/>
              </w:rPr>
              <w:t>: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3370,2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3811,9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88,4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Власні доходи (тис. грн.)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2271,9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2179,5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104,2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1.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водопостачання, в т.ч.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1429,9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1485,1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96,3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Населення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1065,2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984,9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108,1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юридичні особи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364,7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72,9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2.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Вивіз рідких нечистот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385,3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350,9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109,8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3.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proofErr w:type="spellStart"/>
            <w:r w:rsidRPr="00BE109C">
              <w:t>Бювет</w:t>
            </w:r>
            <w:proofErr w:type="spellEnd"/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249,0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234,5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106,2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4137" w:type="dxa"/>
          </w:tcPr>
          <w:p w:rsidR="000F398B" w:rsidRPr="00BE109C" w:rsidRDefault="000F398B" w:rsidP="00450996">
            <w:r w:rsidRPr="00BE109C">
              <w:t>Інші надходження (технічні умови, послуги екскаватора)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207,7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196,3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105,8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5.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b/>
              </w:rPr>
            </w:pPr>
            <w:r w:rsidRPr="00BE109C">
              <w:rPr>
                <w:b/>
              </w:rPr>
              <w:t>Кошти міського бюджету,  в т.ч.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1098,3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1544,9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71,1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  <w:rPr>
                <w:i/>
              </w:rPr>
            </w:pPr>
            <w:r w:rsidRPr="00BE109C">
              <w:rPr>
                <w:i/>
              </w:rPr>
              <w:t>5.1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Поповнення статутного фонду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280,0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Х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5.2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Дотація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505,8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10р. менше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5.3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Різниця в тарифах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1048,3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759,1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138,1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ВИДАТКИ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ВСЬОГО, в т.ч., </w:t>
            </w:r>
            <w:r w:rsidRPr="00BE109C">
              <w:rPr>
                <w:i/>
              </w:rPr>
              <w:t>(тис. грн.)</w:t>
            </w:r>
            <w:r w:rsidRPr="00BE109C">
              <w:rPr>
                <w:b/>
                <w:i/>
              </w:rPr>
              <w:t>: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3415,6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3791,2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90,1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1314,0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1161,3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Нарахування на зарплату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283,8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250,7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«Миколаївобленерго» актив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765,9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927,7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85,5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«Миколаївобленерго» реактив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366,0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48,7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7,5 р. більше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5.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 та запасні частини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133,6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221,5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60,3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6.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ПММ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147,3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177,8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82,8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7.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Загально – виробничі витрати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94,8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103,6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8.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Податки та збори (ПДВ та ресурсні платежі)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214,1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152,7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140,2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</w:pPr>
            <w:r w:rsidRPr="00BE109C">
              <w:t>9.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витрати (в т.ч. послуги банку)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46,1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38,9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118,5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</w:pPr>
            <w:r w:rsidRPr="00BE109C">
              <w:t xml:space="preserve">10.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  Придбання основних засобів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50,0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708,3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14р. менше</w:t>
            </w:r>
          </w:p>
        </w:tc>
      </w:tr>
    </w:tbl>
    <w:p w:rsidR="000F398B" w:rsidRDefault="000F398B" w:rsidP="000F398B">
      <w:pPr>
        <w:ind w:firstLine="720"/>
        <w:jc w:val="center"/>
      </w:pPr>
    </w:p>
    <w:p w:rsidR="000F398B" w:rsidRPr="00BE109C" w:rsidRDefault="000F398B" w:rsidP="000F398B">
      <w:pPr>
        <w:pStyle w:val="6"/>
        <w:rPr>
          <w:sz w:val="24"/>
          <w:szCs w:val="24"/>
          <w:lang w:val="uk-UA"/>
        </w:rPr>
      </w:pPr>
    </w:p>
    <w:p w:rsidR="000F398B" w:rsidRDefault="000F398B" w:rsidP="000F398B">
      <w:pPr>
        <w:pStyle w:val="a3"/>
        <w:spacing w:before="89" w:line="322" w:lineRule="exact"/>
        <w:ind w:left="0" w:right="1559"/>
      </w:pPr>
    </w:p>
    <w:sectPr w:rsidR="000F398B" w:rsidSect="00605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506305"/>
    <w:rsid w:val="0055705E"/>
    <w:rsid w:val="006051D4"/>
    <w:rsid w:val="0063689B"/>
    <w:rsid w:val="006D5958"/>
    <w:rsid w:val="00972755"/>
    <w:rsid w:val="00B514B7"/>
    <w:rsid w:val="00CA2D3A"/>
    <w:rsid w:val="00CC1F95"/>
    <w:rsid w:val="00DA4444"/>
    <w:rsid w:val="00E056AD"/>
    <w:rsid w:val="00E17F45"/>
    <w:rsid w:val="00EB2F96"/>
    <w:rsid w:val="00EB7D75"/>
    <w:rsid w:val="00F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2021-03-19T12:24:00Z</cp:lastPrinted>
  <dcterms:created xsi:type="dcterms:W3CDTF">2021-03-18T14:39:00Z</dcterms:created>
  <dcterms:modified xsi:type="dcterms:W3CDTF">2021-03-24T14:36:00Z</dcterms:modified>
</cp:coreProperties>
</file>