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83" w:rsidRDefault="001C4D83" w:rsidP="001C4D83">
      <w:pPr>
        <w:pStyle w:val="Sentr"/>
        <w:tabs>
          <w:tab w:val="left" w:pos="7920"/>
        </w:tabs>
        <w:spacing w:before="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1C4D83" w:rsidRDefault="001C4D83" w:rsidP="001C4D83">
      <w:pPr>
        <w:pStyle w:val="a5"/>
        <w:ind w:left="0"/>
        <w:jc w:val="center"/>
        <w:rPr>
          <w:sz w:val="23"/>
          <w:szCs w:val="24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1C4D83" w:rsidRDefault="001C4D83" w:rsidP="001C4D83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1C4D83" w:rsidRDefault="001C4D83" w:rsidP="001C4D83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1C4D83" w:rsidRDefault="001C4D83" w:rsidP="001C4D83">
      <w:pPr>
        <w:pStyle w:val="a5"/>
        <w:spacing w:before="89" w:line="322" w:lineRule="exact"/>
        <w:ind w:left="0"/>
        <w:jc w:val="center"/>
      </w:pPr>
    </w:p>
    <w:p w:rsidR="001C4D83" w:rsidRDefault="001C4D83" w:rsidP="001C4D8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7"/>
        <w:gridCol w:w="3245"/>
      </w:tblGrid>
      <w:tr w:rsidR="001C4D83" w:rsidTr="001C4D83">
        <w:trPr>
          <w:trHeight w:val="436"/>
        </w:trPr>
        <w:tc>
          <w:tcPr>
            <w:tcW w:w="6487" w:type="dxa"/>
            <w:hideMark/>
          </w:tcPr>
          <w:p w:rsidR="001C4D83" w:rsidRDefault="001C4D83">
            <w:pPr>
              <w:pStyle w:val="a5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C4D83" w:rsidRDefault="001C4D83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C4D83" w:rsidRDefault="001C4D83">
            <w:pPr>
              <w:pStyle w:val="a5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1C4D83" w:rsidRDefault="001C4D83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BE3802" w:rsidRPr="001C4D83" w:rsidRDefault="00BE3802" w:rsidP="001C4D83">
      <w:pPr>
        <w:spacing w:line="240" w:lineRule="auto"/>
        <w:jc w:val="both"/>
        <w:rPr>
          <w:sz w:val="28"/>
          <w:szCs w:val="28"/>
        </w:rPr>
      </w:pPr>
      <w:r w:rsidRPr="001C4D83">
        <w:rPr>
          <w:sz w:val="28"/>
          <w:szCs w:val="28"/>
        </w:rPr>
        <w:t xml:space="preserve">            </w:t>
      </w:r>
      <w:r w:rsidRPr="001C4D83">
        <w:rPr>
          <w:sz w:val="28"/>
          <w:szCs w:val="28"/>
        </w:rPr>
        <w:tab/>
        <w:t xml:space="preserve">                            </w:t>
      </w:r>
    </w:p>
    <w:p w:rsidR="00BE3802" w:rsidRPr="00BE3802" w:rsidRDefault="00BE3802" w:rsidP="00BE380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b/>
          <w:sz w:val="28"/>
          <w:szCs w:val="28"/>
          <w:lang w:val="uk-UA"/>
        </w:rPr>
        <w:t>Про відмову в наданні дозволу на розробку</w:t>
      </w:r>
    </w:p>
    <w:p w:rsidR="00BE3802" w:rsidRPr="00BE3802" w:rsidRDefault="00BE3802" w:rsidP="00BE380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проектної документації із землеустрою на </w:t>
      </w:r>
    </w:p>
    <w:p w:rsidR="00BE3802" w:rsidRPr="00BE3802" w:rsidRDefault="00BE3802" w:rsidP="00BE3802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земельну ділянку у власність для ведення </w:t>
      </w:r>
    </w:p>
    <w:p w:rsidR="00BE3802" w:rsidRPr="00BE3802" w:rsidRDefault="00BE3802" w:rsidP="00BE3802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b/>
          <w:sz w:val="28"/>
          <w:szCs w:val="28"/>
          <w:lang w:val="uk-UA"/>
        </w:rPr>
        <w:t>особистого селянського господарства</w:t>
      </w:r>
    </w:p>
    <w:p w:rsidR="00BE3802" w:rsidRPr="00BE3802" w:rsidRDefault="00BE3802" w:rsidP="00BE3802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b/>
          <w:sz w:val="28"/>
          <w:szCs w:val="28"/>
          <w:lang w:val="uk-UA"/>
        </w:rPr>
        <w:t>громадянину Федосєєву М.А.</w:t>
      </w:r>
    </w:p>
    <w:p w:rsidR="00BE3802" w:rsidRPr="00BE3802" w:rsidRDefault="00BE3802" w:rsidP="00BE380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E3802" w:rsidRPr="00BE3802" w:rsidRDefault="00BE3802" w:rsidP="001C4D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частини 7 статті 118 Земельного Кодексу України, розглянувши заяву громадянина України Федосєєва М.А. 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BE3802" w:rsidRPr="00BE3802" w:rsidRDefault="00BE3802" w:rsidP="001C4D83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E3802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BE3802" w:rsidRPr="00BE3802" w:rsidRDefault="00BE3802" w:rsidP="001C4D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BE3802" w:rsidRPr="00BE3802" w:rsidRDefault="00BE3802" w:rsidP="001C4D8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громадянину України Федосєєву Миколі Анатолійовичу у наданні</w:t>
      </w:r>
      <w:r w:rsidRPr="00BE3802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BE38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рахунок  земель колективної власності, з таких підстав:</w:t>
      </w:r>
    </w:p>
    <w:p w:rsidR="00BE3802" w:rsidRPr="00BE3802" w:rsidRDefault="00BE3802" w:rsidP="001C4D8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невідповідність місця розташування земельної ділянки вимогам законів, прийнятих відповідно до них нормативно-правових актів,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пунктів.</w:t>
      </w:r>
    </w:p>
    <w:p w:rsidR="00BE3802" w:rsidRPr="00BE3802" w:rsidRDefault="00BE3802" w:rsidP="001C4D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C4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0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BE3802" w:rsidRDefault="00BE3802" w:rsidP="001C4D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D83" w:rsidRPr="00BE3802" w:rsidRDefault="001C4D83" w:rsidP="001C4D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802" w:rsidRPr="00BE3802" w:rsidRDefault="00BE3802" w:rsidP="001C4D8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BE380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E380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E380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E380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E380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E3802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p w:rsidR="00BE3802" w:rsidRDefault="00BE3802" w:rsidP="001C4D83">
      <w:pPr>
        <w:ind w:firstLine="709"/>
        <w:jc w:val="center"/>
        <w:rPr>
          <w:sz w:val="28"/>
          <w:szCs w:val="28"/>
        </w:rPr>
      </w:pPr>
    </w:p>
    <w:p w:rsidR="00BE3802" w:rsidRDefault="00BE3802" w:rsidP="00BE3802">
      <w:pPr>
        <w:jc w:val="center"/>
        <w:rPr>
          <w:sz w:val="28"/>
          <w:szCs w:val="28"/>
        </w:rPr>
      </w:pPr>
    </w:p>
    <w:p w:rsidR="00BE3802" w:rsidRDefault="00BE3802" w:rsidP="00BE3802">
      <w:pPr>
        <w:jc w:val="center"/>
        <w:rPr>
          <w:sz w:val="28"/>
          <w:szCs w:val="28"/>
        </w:rPr>
      </w:pPr>
    </w:p>
    <w:p w:rsidR="00F01D94" w:rsidRDefault="00F01D94"/>
    <w:sectPr w:rsidR="00F01D94" w:rsidSect="001C4D83">
      <w:pgSz w:w="11906" w:h="16838"/>
      <w:pgMar w:top="1134" w:right="709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802"/>
    <w:rsid w:val="001C4D83"/>
    <w:rsid w:val="008767C5"/>
    <w:rsid w:val="00BE3802"/>
    <w:rsid w:val="00F0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E380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E3802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qFormat/>
    <w:rsid w:val="001C4D83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C4D8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1C4D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11"/>
    <w:basedOn w:val="a"/>
    <w:uiPriority w:val="99"/>
    <w:rsid w:val="001C4D83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3</cp:revision>
  <dcterms:created xsi:type="dcterms:W3CDTF">2021-05-14T11:43:00Z</dcterms:created>
  <dcterms:modified xsi:type="dcterms:W3CDTF">2021-05-17T14:01:00Z</dcterms:modified>
</cp:coreProperties>
</file>