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5E" w:rsidRPr="00C22E5E" w:rsidRDefault="00C22E5E" w:rsidP="00C22E5E">
      <w:pPr>
        <w:jc w:val="center"/>
        <w:rPr>
          <w:rFonts w:ascii="Times New Roman" w:hAnsi="Times New Roman" w:cs="Times New Roman"/>
          <w:b/>
          <w:color w:val="FF0000"/>
          <w:sz w:val="19"/>
        </w:rPr>
      </w:pPr>
      <w:r w:rsidRPr="00C22E5E">
        <w:rPr>
          <w:rFonts w:ascii="Times New Roman" w:hAnsi="Times New Roman" w:cs="Times New Roman"/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605511134" r:id="rId5"/>
        </w:object>
      </w:r>
    </w:p>
    <w:p w:rsidR="00C22E5E" w:rsidRPr="00C22E5E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У К Р А Ї Н А</w:t>
      </w:r>
    </w:p>
    <w:p w:rsidR="00C22E5E" w:rsidRPr="00C22E5E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НОВООДЕСЬКА МІСЬКА РАДА</w:t>
      </w:r>
    </w:p>
    <w:p w:rsidR="00C22E5E" w:rsidRPr="00C22E5E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НОВООДЕСЬКОГО РАЙОНУ МИКОЛАЇВСЬКОЇ ОБЛАСТІ</w:t>
      </w:r>
    </w:p>
    <w:p w:rsidR="00C22E5E" w:rsidRPr="00712C13" w:rsidRDefault="00C22E5E" w:rsidP="00C22E5E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 xml:space="preserve">РІШЕННЯ №  </w:t>
      </w:r>
    </w:p>
    <w:p w:rsidR="00C22E5E" w:rsidRPr="00C22E5E" w:rsidRDefault="00C22E5E" w:rsidP="00C22E5E">
      <w:pPr>
        <w:rPr>
          <w:rFonts w:ascii="Times New Roman" w:hAnsi="Times New Roman" w:cs="Times New Roman"/>
          <w:sz w:val="28"/>
          <w:szCs w:val="28"/>
        </w:rPr>
      </w:pPr>
    </w:p>
    <w:p w:rsidR="00C22E5E" w:rsidRPr="00C22E5E" w:rsidRDefault="00712C13" w:rsidP="00C22E5E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21 грудня</w:t>
      </w:r>
      <w:r w:rsidR="00C22E5E" w:rsidRPr="00C22E5E">
        <w:rPr>
          <w:rFonts w:ascii="Times New Roman" w:hAnsi="Times New Roman" w:cs="Times New Roman"/>
          <w:sz w:val="32"/>
          <w:szCs w:val="32"/>
          <w:lang w:val="uk-UA"/>
        </w:rPr>
        <w:t xml:space="preserve"> 2018 року                                                    </w:t>
      </w:r>
    </w:p>
    <w:p w:rsidR="00C22E5E" w:rsidRPr="00EF6F1C" w:rsidRDefault="00C22E5E" w:rsidP="00C22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C22E5E">
        <w:rPr>
          <w:rFonts w:ascii="Times New Roman" w:hAnsi="Times New Roman" w:cs="Times New Roman"/>
          <w:sz w:val="32"/>
          <w:szCs w:val="32"/>
          <w:lang w:val="uk-UA"/>
        </w:rPr>
        <w:t>ХХХІ</w:t>
      </w:r>
      <w:r w:rsidR="00712C13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C22E5E">
        <w:rPr>
          <w:rFonts w:ascii="Times New Roman" w:hAnsi="Times New Roman" w:cs="Times New Roman"/>
          <w:sz w:val="32"/>
          <w:szCs w:val="32"/>
          <w:lang w:val="uk-UA"/>
        </w:rPr>
        <w:t xml:space="preserve"> сесія  сьомого скликання                </w:t>
      </w:r>
      <w:r w:rsidRPr="00C22E5E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C22E5E" w:rsidRPr="00EB60AC" w:rsidRDefault="00C22E5E" w:rsidP="00C22E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C22E5E" w:rsidRPr="00EB60AC" w:rsidRDefault="00C22E5E" w:rsidP="00C22E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технічних документацій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землеустрою </w:t>
      </w:r>
    </w:p>
    <w:p w:rsidR="00C22E5E" w:rsidRPr="00EB60AC" w:rsidRDefault="00C22E5E" w:rsidP="00C22E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</w:p>
    <w:p w:rsidR="00C22E5E" w:rsidRPr="00EB60AC" w:rsidRDefault="00C22E5E" w:rsidP="00C22E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C22E5E" w:rsidRPr="00EB60AC" w:rsidRDefault="00C22E5E" w:rsidP="00C22E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C22E5E" w:rsidRPr="005F0AD2" w:rsidRDefault="00C22E5E" w:rsidP="00C22E5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Pr="007B16CD" w:rsidRDefault="00C22E5E" w:rsidP="00C22E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C22E5E" w:rsidRDefault="00C22E5E" w:rsidP="00C22E5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C22E5E" w:rsidRPr="007B16CD" w:rsidRDefault="00C22E5E" w:rsidP="00C22E5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22E5E" w:rsidRPr="00C22E5E" w:rsidRDefault="00C22E5E" w:rsidP="00C22E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1.Дати дозвіл на  розробку  технічних документацій із землеустрою щодо встановлення меж земельних ділянок розташованих в межах міста Нова Одеса із земель комунальної власності, 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C22E5E" w:rsidRPr="00C22E5E" w:rsidTr="008A11F4">
        <w:trPr>
          <w:trHeight w:val="849"/>
        </w:trPr>
        <w:tc>
          <w:tcPr>
            <w:tcW w:w="643" w:type="dxa"/>
          </w:tcPr>
          <w:p w:rsidR="00C22E5E" w:rsidRPr="00A177AC" w:rsidRDefault="00C22E5E" w:rsidP="008A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5" w:type="dxa"/>
          </w:tcPr>
          <w:p w:rsidR="00C22E5E" w:rsidRPr="00A177AC" w:rsidRDefault="00E93797" w:rsidP="008A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="00C22E5E"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C22E5E" w:rsidRPr="00A177AC" w:rsidRDefault="00C22E5E" w:rsidP="008A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C22E5E" w:rsidRPr="00A177AC" w:rsidRDefault="00C22E5E" w:rsidP="008A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ОЖБ</w:t>
            </w:r>
          </w:p>
        </w:tc>
      </w:tr>
      <w:tr w:rsidR="00C22E5E" w:rsidRPr="00C22E5E" w:rsidTr="008A11F4">
        <w:tc>
          <w:tcPr>
            <w:tcW w:w="643" w:type="dxa"/>
          </w:tcPr>
          <w:p w:rsidR="00C22E5E" w:rsidRPr="00C22E5E" w:rsidRDefault="00C22E5E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5045" w:type="dxa"/>
          </w:tcPr>
          <w:p w:rsidR="00C22E5E" w:rsidRPr="00C22E5E" w:rsidRDefault="00712C13" w:rsidP="00712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Іван Павлович</w:t>
            </w:r>
            <w:r w:rsidR="00067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69</w:t>
            </w:r>
          </w:p>
        </w:tc>
        <w:tc>
          <w:tcPr>
            <w:tcW w:w="1980" w:type="dxa"/>
          </w:tcPr>
          <w:p w:rsidR="00C22E5E" w:rsidRPr="00C22E5E" w:rsidRDefault="00712C13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</w:t>
            </w:r>
            <w:r w:rsidR="00C22E5E"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800" w:type="dxa"/>
          </w:tcPr>
          <w:p w:rsidR="00C22E5E" w:rsidRPr="00C22E5E" w:rsidRDefault="00712C13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</w:t>
            </w:r>
            <w:r w:rsidR="00C22E5E"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C22E5E" w:rsidRPr="00C22E5E" w:rsidTr="008A11F4">
        <w:tc>
          <w:tcPr>
            <w:tcW w:w="643" w:type="dxa"/>
          </w:tcPr>
          <w:p w:rsidR="00C22E5E" w:rsidRPr="00C22E5E" w:rsidRDefault="00C22E5E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5045" w:type="dxa"/>
          </w:tcPr>
          <w:p w:rsidR="00C22E5E" w:rsidRPr="00C22E5E" w:rsidRDefault="00712C13" w:rsidP="00712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Юлії Миколаївна</w:t>
            </w:r>
            <w:r w:rsidR="00034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Лісна, 14/1</w:t>
            </w:r>
          </w:p>
        </w:tc>
        <w:tc>
          <w:tcPr>
            <w:tcW w:w="1980" w:type="dxa"/>
          </w:tcPr>
          <w:p w:rsidR="00C22E5E" w:rsidRPr="00C22E5E" w:rsidRDefault="00712C13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0,06</w:t>
            </w:r>
            <w:r w:rsidR="00C22E5E"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800" w:type="dxa"/>
          </w:tcPr>
          <w:p w:rsidR="00C22E5E" w:rsidRPr="00C22E5E" w:rsidRDefault="00712C13" w:rsidP="008A11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0,06</w:t>
            </w:r>
            <w:r w:rsidR="00C22E5E"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</w:tbl>
    <w:p w:rsidR="00034F98" w:rsidRDefault="00C22E5E" w:rsidP="00034F98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lastRenderedPageBreak/>
        <w:t>2.Виготовлення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відведення земельної ділянки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землеустрою є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комерційним ризиком замовників.</w:t>
      </w:r>
    </w:p>
    <w:p w:rsidR="00034F98" w:rsidRDefault="00C22E5E" w:rsidP="00034F98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3.Строк дії дозволу на розроблення технічної документації із землеустрою становить один рік.</w:t>
      </w:r>
    </w:p>
    <w:p w:rsidR="00C22E5E" w:rsidRPr="00C22E5E" w:rsidRDefault="00C22E5E" w:rsidP="00034F98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C22E5E" w:rsidRPr="00C22E5E" w:rsidRDefault="00C22E5E" w:rsidP="00C22E5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Pr="00C22E5E" w:rsidRDefault="00C22E5E" w:rsidP="00C22E5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Pr="00C22E5E" w:rsidRDefault="00C22E5E" w:rsidP="00C22E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C22E5E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C22E5E" w:rsidRPr="00C22E5E" w:rsidRDefault="00C22E5E" w:rsidP="00C22E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Default="00D7485A" w:rsidP="00D7485A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</w:p>
    <w:p w:rsidR="00D7485A" w:rsidRPr="00C22E5E" w:rsidRDefault="00D7485A" w:rsidP="00D7485A">
      <w:pPr>
        <w:jc w:val="center"/>
        <w:rPr>
          <w:rFonts w:ascii="Times New Roman" w:hAnsi="Times New Roman" w:cs="Times New Roman"/>
          <w:b/>
          <w:color w:val="FF0000"/>
          <w:sz w:val="19"/>
        </w:rPr>
      </w:pPr>
      <w:r w:rsidRPr="00C22E5E">
        <w:rPr>
          <w:rFonts w:ascii="Times New Roman" w:hAnsi="Times New Roman" w:cs="Times New Roman"/>
          <w:b/>
          <w:color w:val="FF0000"/>
        </w:rPr>
        <w:object w:dxaOrig="1121" w:dyaOrig="1281">
          <v:shape id="_x0000_i1026" type="#_x0000_t75" style="width:43.5pt;height:49.5pt" o:ole="" fillcolor="window">
            <v:imagedata r:id="rId4" o:title=""/>
          </v:shape>
          <o:OLEObject Type="Embed" ProgID="Word.Picture.8" ShapeID="_x0000_i1026" DrawAspect="Content" ObjectID="_1605511135" r:id="rId6"/>
        </w:object>
      </w:r>
    </w:p>
    <w:p w:rsidR="00D7485A" w:rsidRPr="00C22E5E" w:rsidRDefault="00D7485A" w:rsidP="00D7485A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У К Р А Ї Н А</w:t>
      </w:r>
    </w:p>
    <w:p w:rsidR="00D7485A" w:rsidRPr="00C22E5E" w:rsidRDefault="00D7485A" w:rsidP="00D7485A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НОВООДЕСЬКА МІСЬКА РАДА</w:t>
      </w:r>
    </w:p>
    <w:p w:rsidR="00D7485A" w:rsidRPr="00C22E5E" w:rsidRDefault="00D7485A" w:rsidP="00D7485A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22E5E">
        <w:rPr>
          <w:rFonts w:ascii="Times New Roman" w:hAnsi="Times New Roman" w:cs="Times New Roman"/>
          <w:b/>
          <w:sz w:val="32"/>
        </w:rPr>
        <w:t>НОВООДЕСЬКОГО РАЙОНУ МИКОЛАЇВСЬКОЇ ОБЛАСТІ</w:t>
      </w:r>
    </w:p>
    <w:p w:rsidR="00D7485A" w:rsidRPr="00D7485A" w:rsidRDefault="00D7485A" w:rsidP="00D7485A">
      <w:pPr>
        <w:contextualSpacing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C22E5E">
        <w:rPr>
          <w:rFonts w:ascii="Times New Roman" w:hAnsi="Times New Roman" w:cs="Times New Roman"/>
          <w:b/>
          <w:sz w:val="32"/>
        </w:rPr>
        <w:t xml:space="preserve">РІШЕННЯ №  </w:t>
      </w:r>
      <w:r>
        <w:rPr>
          <w:rFonts w:ascii="Times New Roman" w:hAnsi="Times New Roman" w:cs="Times New Roman"/>
          <w:b/>
          <w:sz w:val="32"/>
          <w:lang w:val="uk-UA"/>
        </w:rPr>
        <w:t>7</w:t>
      </w:r>
    </w:p>
    <w:p w:rsidR="00D7485A" w:rsidRPr="00C22E5E" w:rsidRDefault="00D7485A" w:rsidP="00D7485A">
      <w:pPr>
        <w:rPr>
          <w:rFonts w:ascii="Times New Roman" w:hAnsi="Times New Roman" w:cs="Times New Roman"/>
          <w:sz w:val="28"/>
          <w:szCs w:val="28"/>
        </w:rPr>
      </w:pPr>
    </w:p>
    <w:p w:rsidR="00D7485A" w:rsidRPr="00C22E5E" w:rsidRDefault="00D7485A" w:rsidP="00D7485A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26 жовтня</w:t>
      </w:r>
      <w:r w:rsidRPr="00C22E5E">
        <w:rPr>
          <w:rFonts w:ascii="Times New Roman" w:hAnsi="Times New Roman" w:cs="Times New Roman"/>
          <w:sz w:val="32"/>
          <w:szCs w:val="32"/>
          <w:lang w:val="uk-UA"/>
        </w:rPr>
        <w:t xml:space="preserve"> 2018 року                                                    </w:t>
      </w:r>
    </w:p>
    <w:p w:rsidR="00D7485A" w:rsidRPr="00EF6F1C" w:rsidRDefault="00D7485A" w:rsidP="00D74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C22E5E">
        <w:rPr>
          <w:rFonts w:ascii="Times New Roman" w:hAnsi="Times New Roman" w:cs="Times New Roman"/>
          <w:sz w:val="32"/>
          <w:szCs w:val="32"/>
          <w:lang w:val="uk-UA"/>
        </w:rPr>
        <w:t>ХХХІ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І сесія </w:t>
      </w:r>
      <w:r w:rsidRPr="00C22E5E">
        <w:rPr>
          <w:rFonts w:ascii="Times New Roman" w:hAnsi="Times New Roman" w:cs="Times New Roman"/>
          <w:sz w:val="32"/>
          <w:szCs w:val="32"/>
          <w:lang w:val="uk-UA"/>
        </w:rPr>
        <w:t xml:space="preserve">сьомого скликання                </w:t>
      </w:r>
      <w:r w:rsidRPr="00C22E5E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D7485A" w:rsidRPr="00EB60AC" w:rsidRDefault="00D7485A" w:rsidP="00D748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D7485A" w:rsidRPr="00EB60AC" w:rsidRDefault="00D7485A" w:rsidP="00D748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технічних документацій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землеустрою </w:t>
      </w:r>
    </w:p>
    <w:p w:rsidR="00D7485A" w:rsidRPr="00EB60AC" w:rsidRDefault="00D7485A" w:rsidP="00D7485A">
      <w:pPr>
        <w:pStyle w:val="a3"/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ВИТЯГ</w:t>
      </w:r>
    </w:p>
    <w:p w:rsidR="00D7485A" w:rsidRPr="00EB60AC" w:rsidRDefault="00D7485A" w:rsidP="00D748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D7485A" w:rsidRPr="00EB60AC" w:rsidRDefault="00D7485A" w:rsidP="00D748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D7485A" w:rsidRPr="005F0AD2" w:rsidRDefault="00D7485A" w:rsidP="00D748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85A" w:rsidRPr="007B16CD" w:rsidRDefault="00D7485A" w:rsidP="00D748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D7485A" w:rsidRDefault="00D7485A" w:rsidP="00D748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D7485A" w:rsidRPr="007B16CD" w:rsidRDefault="00D7485A" w:rsidP="00D748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7485A" w:rsidRPr="00C22E5E" w:rsidRDefault="00D7485A" w:rsidP="00D748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1.Дати дозвіл на  розробку  технічних документацій із землеустрою щодо встановлення меж земельних ділянок розташованих в межах міста Нова Одеса із земель комунальної власності, 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D7485A" w:rsidRPr="00C22E5E" w:rsidTr="00F366D9">
        <w:trPr>
          <w:trHeight w:val="849"/>
        </w:trPr>
        <w:tc>
          <w:tcPr>
            <w:tcW w:w="643" w:type="dxa"/>
          </w:tcPr>
          <w:p w:rsidR="00D7485A" w:rsidRPr="00A177AC" w:rsidRDefault="00D7485A" w:rsidP="00F366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45" w:type="dxa"/>
          </w:tcPr>
          <w:p w:rsidR="00D7485A" w:rsidRPr="00A177AC" w:rsidRDefault="00D7485A" w:rsidP="00F366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ім.’я</w:t>
            </w:r>
            <w:proofErr w:type="spellEnd"/>
            <w:r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D7485A" w:rsidRPr="00A177AC" w:rsidRDefault="00D7485A" w:rsidP="00F366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D7485A" w:rsidRPr="00A177AC" w:rsidRDefault="00D7485A" w:rsidP="00F366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ОЖБ</w:t>
            </w:r>
          </w:p>
        </w:tc>
      </w:tr>
      <w:tr w:rsidR="00D7485A" w:rsidRPr="00C22E5E" w:rsidTr="00F366D9">
        <w:tc>
          <w:tcPr>
            <w:tcW w:w="643" w:type="dxa"/>
          </w:tcPr>
          <w:p w:rsidR="00D7485A" w:rsidRPr="00C22E5E" w:rsidRDefault="00D7485A" w:rsidP="00F366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5045" w:type="dxa"/>
          </w:tcPr>
          <w:p w:rsidR="00D7485A" w:rsidRPr="00C22E5E" w:rsidRDefault="00D7485A" w:rsidP="00F366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Мазурик Михайло Васильович, вулиця Центральна, 287</w:t>
            </w:r>
          </w:p>
        </w:tc>
        <w:tc>
          <w:tcPr>
            <w:tcW w:w="1980" w:type="dxa"/>
          </w:tcPr>
          <w:p w:rsidR="00D7485A" w:rsidRPr="00C22E5E" w:rsidRDefault="00D7485A" w:rsidP="00F366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0,09</w:t>
            </w:r>
            <w:r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800" w:type="dxa"/>
          </w:tcPr>
          <w:p w:rsidR="00D7485A" w:rsidRPr="00C22E5E" w:rsidRDefault="00D7485A" w:rsidP="00F366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0,09</w:t>
            </w:r>
            <w:r w:rsidRPr="00C22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</w:tbl>
    <w:p w:rsidR="00D7485A" w:rsidRDefault="00D7485A" w:rsidP="00D7485A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2.Виготовлення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відведення земельної ділянки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землеустрою є</w:t>
      </w:r>
      <w:r w:rsidRPr="00C22E5E">
        <w:rPr>
          <w:rFonts w:ascii="Times New Roman" w:hAnsi="Times New Roman" w:cs="Times New Roman"/>
          <w:sz w:val="28"/>
          <w:szCs w:val="28"/>
        </w:rPr>
        <w:t> </w:t>
      </w:r>
      <w:r w:rsidRPr="00C22E5E">
        <w:rPr>
          <w:rFonts w:ascii="Times New Roman" w:hAnsi="Times New Roman" w:cs="Times New Roman"/>
          <w:sz w:val="28"/>
          <w:szCs w:val="28"/>
          <w:lang w:val="uk-UA"/>
        </w:rPr>
        <w:t xml:space="preserve"> комерційним ризиком замовників.</w:t>
      </w:r>
    </w:p>
    <w:p w:rsidR="00D7485A" w:rsidRDefault="00D7485A" w:rsidP="00D7485A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3.Строк дії дозволу на розроблення технічної документації із землеустрою становить один рік.</w:t>
      </w:r>
    </w:p>
    <w:p w:rsidR="00D7485A" w:rsidRPr="00C22E5E" w:rsidRDefault="00D7485A" w:rsidP="00D7485A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lastRenderedPageBreak/>
        <w:t>4. 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D7485A" w:rsidRPr="00C22E5E" w:rsidRDefault="00D7485A" w:rsidP="00D748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85A" w:rsidRPr="00C22E5E" w:rsidRDefault="00D7485A" w:rsidP="00D7485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485A" w:rsidRPr="00C22E5E" w:rsidRDefault="00D7485A" w:rsidP="00D74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2E5E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C22E5E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D7485A" w:rsidRPr="00C22E5E" w:rsidRDefault="00D7485A" w:rsidP="00D748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485A" w:rsidRDefault="00D7485A" w:rsidP="00D7485A">
      <w:pPr>
        <w:rPr>
          <w:lang w:val="uk-UA"/>
        </w:rPr>
      </w:pPr>
    </w:p>
    <w:p w:rsidR="00D7485A" w:rsidRDefault="00D7485A" w:rsidP="00D748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Згідно з оригіналом</w:t>
      </w:r>
    </w:p>
    <w:p w:rsidR="00D7485A" w:rsidRDefault="00D7485A" w:rsidP="00D748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Секретар міської 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О.П.Пустовойтенко</w:t>
      </w:r>
    </w:p>
    <w:p w:rsidR="00D7485A" w:rsidRPr="00D7485A" w:rsidRDefault="00D7485A" w:rsidP="00D748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08.11.2018 року</w:t>
      </w:r>
    </w:p>
    <w:p w:rsidR="00D7485A" w:rsidRDefault="00D7485A" w:rsidP="00D7485A">
      <w:pPr>
        <w:rPr>
          <w:lang w:val="uk-UA"/>
        </w:rPr>
      </w:pPr>
    </w:p>
    <w:p w:rsidR="00D7485A" w:rsidRDefault="00D7485A" w:rsidP="00D7485A">
      <w:pPr>
        <w:rPr>
          <w:lang w:val="uk-UA"/>
        </w:rPr>
      </w:pPr>
    </w:p>
    <w:p w:rsidR="00D7485A" w:rsidRDefault="00D7485A" w:rsidP="00D7485A">
      <w:pPr>
        <w:rPr>
          <w:lang w:val="uk-UA"/>
        </w:rPr>
      </w:pPr>
    </w:p>
    <w:p w:rsidR="00D7485A" w:rsidRDefault="00D7485A" w:rsidP="00D7485A">
      <w:pPr>
        <w:rPr>
          <w:lang w:val="uk-UA"/>
        </w:rPr>
      </w:pPr>
    </w:p>
    <w:p w:rsidR="00D7485A" w:rsidRDefault="00D7485A" w:rsidP="00D7485A">
      <w:pPr>
        <w:rPr>
          <w:lang w:val="uk-UA"/>
        </w:rPr>
      </w:pPr>
    </w:p>
    <w:p w:rsidR="00D7485A" w:rsidRDefault="00D7485A" w:rsidP="00D7485A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C22E5E" w:rsidRDefault="00C22E5E" w:rsidP="00C22E5E">
      <w:pPr>
        <w:rPr>
          <w:lang w:val="uk-UA"/>
        </w:rPr>
      </w:pPr>
    </w:p>
    <w:p w:rsidR="00545CBD" w:rsidRDefault="00545CBD"/>
    <w:sectPr w:rsidR="00545CBD" w:rsidSect="004D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E5E"/>
    <w:rsid w:val="00034F98"/>
    <w:rsid w:val="00067163"/>
    <w:rsid w:val="00256954"/>
    <w:rsid w:val="004D1D24"/>
    <w:rsid w:val="00545CBD"/>
    <w:rsid w:val="00712C13"/>
    <w:rsid w:val="009878D4"/>
    <w:rsid w:val="00A177AC"/>
    <w:rsid w:val="00BC341E"/>
    <w:rsid w:val="00C22E5E"/>
    <w:rsid w:val="00D7485A"/>
    <w:rsid w:val="00E350E5"/>
    <w:rsid w:val="00E9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2E5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22E5E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22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22E5E"/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2018-11-08T06:13:00Z</cp:lastPrinted>
  <dcterms:created xsi:type="dcterms:W3CDTF">2018-10-18T07:34:00Z</dcterms:created>
  <dcterms:modified xsi:type="dcterms:W3CDTF">2018-12-05T08:32:00Z</dcterms:modified>
</cp:coreProperties>
</file>