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4" w:rsidRPr="0033657D" w:rsidRDefault="00E25574" w:rsidP="00E25574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168951" r:id="rId5"/>
        </w:object>
      </w:r>
    </w:p>
    <w:p w:rsidR="00E25574" w:rsidRPr="007B16CD" w:rsidRDefault="00E25574" w:rsidP="00E25574">
      <w:pPr>
        <w:jc w:val="center"/>
        <w:rPr>
          <w:b/>
          <w:sz w:val="19"/>
        </w:rPr>
      </w:pP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E25574" w:rsidRPr="007B16CD" w:rsidRDefault="00E25574" w:rsidP="00E25574">
      <w:pPr>
        <w:rPr>
          <w:sz w:val="28"/>
          <w:szCs w:val="28"/>
        </w:rPr>
      </w:pPr>
    </w:p>
    <w:p w:rsidR="00E25574" w:rsidRPr="00375C6C" w:rsidRDefault="00E25574" w:rsidP="00E25574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25574" w:rsidRPr="00EF6F1C" w:rsidRDefault="00E25574" w:rsidP="00E25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E25574" w:rsidRPr="00EF6F1C" w:rsidRDefault="00E25574" w:rsidP="00E25574">
      <w:pPr>
        <w:jc w:val="both"/>
        <w:rPr>
          <w:sz w:val="28"/>
          <w:szCs w:val="28"/>
          <w:lang w:val="uk-UA"/>
        </w:rPr>
      </w:pP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5F0AD2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 землеустрою 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в натурі (на місцевості) </w:t>
      </w:r>
    </w:p>
    <w:p w:rsidR="00E25574" w:rsidRPr="005F0AD2" w:rsidRDefault="00E25574" w:rsidP="00E255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F0AD2">
        <w:rPr>
          <w:rFonts w:ascii="Times New Roman" w:hAnsi="Times New Roman" w:cs="Times New Roman"/>
          <w:sz w:val="28"/>
          <w:szCs w:val="28"/>
          <w:lang w:val="uk-UA"/>
        </w:rPr>
        <w:t>громадянам України</w:t>
      </w:r>
    </w:p>
    <w:p w:rsidR="00E25574" w:rsidRPr="005F0AD2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E25574" w:rsidRPr="007B16CD" w:rsidRDefault="00E25574" w:rsidP="00E2557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>1.Дати дозвіл на  розробку  проекту землеустрою щодо відведення земельної ділянки розташованої в межах міста Нова Одеса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E25574" w:rsidRPr="007B16CD" w:rsidTr="00A44982">
        <w:trPr>
          <w:trHeight w:val="849"/>
        </w:trPr>
        <w:tc>
          <w:tcPr>
            <w:tcW w:w="643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E25574" w:rsidRPr="007B16CD" w:rsidTr="00A44982">
        <w:tc>
          <w:tcPr>
            <w:tcW w:w="643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en-US"/>
              </w:rPr>
              <w:t>1</w:t>
            </w:r>
            <w:r w:rsidRPr="007B16C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045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Кротчик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Ігоревич, вулиця Підгірна, 124, місто Нова Одеса</w:t>
            </w:r>
          </w:p>
        </w:tc>
        <w:tc>
          <w:tcPr>
            <w:tcW w:w="1980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  <w:tc>
          <w:tcPr>
            <w:tcW w:w="1800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</w:tr>
      <w:tr w:rsidR="00E25574" w:rsidRPr="007B16CD" w:rsidTr="00A44982">
        <w:tc>
          <w:tcPr>
            <w:tcW w:w="643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uk-UA"/>
              </w:rPr>
              <w:t>2)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25574" w:rsidRPr="005E253B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5045" w:type="dxa"/>
          </w:tcPr>
          <w:p w:rsidR="00E25574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Пилипець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Зіновіївна, вулиця Перемоги, 25, місто Нова Одеса</w:t>
            </w:r>
          </w:p>
          <w:p w:rsidR="005E253B" w:rsidRDefault="005E253B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Дєвухі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Валентині Миколаївні,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Сеславинського</w:t>
            </w:r>
            <w:proofErr w:type="spellEnd"/>
            <w:r>
              <w:rPr>
                <w:sz w:val="28"/>
                <w:szCs w:val="28"/>
                <w:lang w:val="uk-UA"/>
              </w:rPr>
              <w:t>, 15, місто Нова Одеса</w:t>
            </w:r>
          </w:p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25574" w:rsidRPr="005E253B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5E253B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E253B" w:rsidRDefault="005E253B" w:rsidP="005E253B">
            <w:pPr>
              <w:rPr>
                <w:sz w:val="28"/>
                <w:szCs w:val="28"/>
                <w:lang w:val="uk-UA"/>
              </w:rPr>
            </w:pPr>
          </w:p>
          <w:p w:rsidR="00E25574" w:rsidRPr="005E253B" w:rsidRDefault="005E253B" w:rsidP="005E2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проекту землеустрою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проектів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проектів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земельних ресурсів та охорони навколишнього середовища.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E25574" w:rsidRPr="007B16CD" w:rsidRDefault="00E25574" w:rsidP="00E25574"/>
    <w:p w:rsidR="00E25574" w:rsidRPr="007B16CD" w:rsidRDefault="00E25574" w:rsidP="00E25574">
      <w:pPr>
        <w:rPr>
          <w:lang w:val="uk-UA"/>
        </w:rPr>
      </w:pPr>
    </w:p>
    <w:p w:rsidR="00E25574" w:rsidRPr="007B16CD" w:rsidRDefault="00E25574" w:rsidP="00E25574">
      <w:pPr>
        <w:rPr>
          <w:lang w:val="uk-UA"/>
        </w:rPr>
      </w:pPr>
    </w:p>
    <w:p w:rsidR="00795265" w:rsidRDefault="005E253B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574"/>
    <w:rsid w:val="00240761"/>
    <w:rsid w:val="005261BE"/>
    <w:rsid w:val="005E253B"/>
    <w:rsid w:val="00C3070C"/>
    <w:rsid w:val="00CA4A83"/>
    <w:rsid w:val="00E2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5574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E255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2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25574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2018-04-23T12:42:00Z</dcterms:created>
  <dcterms:modified xsi:type="dcterms:W3CDTF">2018-04-25T10:43:00Z</dcterms:modified>
</cp:coreProperties>
</file>