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993" w:rsidRPr="00796993" w:rsidRDefault="009B73EA" w:rsidP="00796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Комунальна установа «Центр надання соціальних послуг Новоодеської міської ради»</w:t>
      </w:r>
    </w:p>
    <w:p w:rsidR="00796993" w:rsidRPr="00796993" w:rsidRDefault="00796993" w:rsidP="00796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(назва замовника)</w:t>
      </w:r>
    </w:p>
    <w:p w:rsidR="00796993" w:rsidRPr="00796993" w:rsidRDefault="00796993" w:rsidP="00796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96993" w:rsidRPr="00E320C2" w:rsidRDefault="00796993" w:rsidP="00796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ОБҐРУНТУВАННЯ</w:t>
      </w:r>
    </w:p>
    <w:p w:rsidR="00796993" w:rsidRPr="00E320C2" w:rsidRDefault="00796993" w:rsidP="00796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технічних та якісних характеристик закупівлі природнього газу, розміру бюджетного призначення, очікуваної вартості предмета закупівлі</w:t>
      </w:r>
      <w:r w:rsidRPr="00E320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796993" w:rsidRPr="00E320C2" w:rsidRDefault="00796993" w:rsidP="00796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20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796993" w:rsidRPr="00E320C2" w:rsidRDefault="00796993" w:rsidP="00796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96993" w:rsidRPr="00E320C2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20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</w:t>
      </w:r>
      <w:r w:rsidRPr="00E320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796993" w:rsidRPr="00E320C2" w:rsidRDefault="009B73EA" w:rsidP="009B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2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Комунальна установа «Центр надання соціальних послуг Новоодеської міської ради»</w:t>
      </w:r>
      <w:r w:rsidR="00796993" w:rsidRPr="00E320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код за ЄДРПОУ 40</w:t>
      </w:r>
      <w:r w:rsidRPr="00E320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493795</w:t>
      </w:r>
      <w:r w:rsidR="00796993" w:rsidRPr="00E320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796993" w:rsidRPr="00E320C2" w:rsidRDefault="00796993" w:rsidP="00F50C1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20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Назва предмета закупівлі</w:t>
      </w:r>
      <w:r w:rsidRPr="00E320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F50C17" w:rsidRPr="00E320C2">
        <w:rPr>
          <w:rFonts w:ascii="Times New Roman" w:hAnsi="Times New Roman" w:cs="Times New Roman"/>
          <w:b/>
          <w:sz w:val="24"/>
          <w:szCs w:val="24"/>
          <w:lang w:val="ru-RU"/>
        </w:rPr>
        <w:t>код ДК 021:2015 09120000-6 – Газове паливо (природний газ).</w:t>
      </w:r>
    </w:p>
    <w:p w:rsidR="00796993" w:rsidRPr="00E320C2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320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Деталізований CPV код (у т.ч. для лотів) та його назва ДК 021:2015 - 09123000-7 – Природний газ.</w:t>
      </w:r>
    </w:p>
    <w:p w:rsidR="00796993" w:rsidRPr="00E320C2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320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Вид процедури закупівлі:</w:t>
      </w:r>
      <w:r w:rsidRPr="00E320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відкриті торги згідно пункту 3</w:t>
      </w:r>
      <w:r w:rsidRPr="00E320C2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uk-UA"/>
        </w:rPr>
        <w:t>7</w:t>
      </w:r>
      <w:r w:rsidRPr="00E320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прикінцевих та перехідних положень Закону України «Про публічні закупівлі» від 25.12.2015 № 922-VIII зі змінами та з урахуванням положення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 жовтня 2022 р. № 1178 (надалі - Особливості) .</w:t>
      </w:r>
    </w:p>
    <w:p w:rsidR="00C83D48" w:rsidRPr="00E320C2" w:rsidRDefault="00C83D48" w:rsidP="00C83D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20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Розмір бюджетного призначення</w:t>
      </w:r>
      <w:r w:rsidRPr="00E320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="00841A53" w:rsidRPr="00841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22</w:t>
      </w:r>
      <w:r w:rsidRPr="001C1CD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841A5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000</w:t>
      </w:r>
      <w:r w:rsidRPr="001C1CD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</w:t>
      </w:r>
      <w:r w:rsidR="00841A5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00</w:t>
      </w:r>
      <w:r w:rsidRPr="001C1C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="00841A53">
        <w:rPr>
          <w:rFonts w:ascii="Times New Roman" w:eastAsia="Times New Roman" w:hAnsi="Times New Roman" w:cs="Times New Roman"/>
          <w:sz w:val="24"/>
          <w:szCs w:val="24"/>
          <w:lang w:eastAsia="uk-UA"/>
        </w:rPr>
        <w:t>Двадцять дві</w:t>
      </w:r>
      <w:r w:rsidRPr="001C1C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тисяч</w:t>
      </w:r>
      <w:r w:rsidR="00841A53"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1C1C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грив</w:t>
      </w:r>
      <w:r w:rsidR="00841A53">
        <w:rPr>
          <w:rFonts w:ascii="Times New Roman" w:eastAsia="Times New Roman" w:hAnsi="Times New Roman" w:cs="Times New Roman"/>
          <w:sz w:val="24"/>
          <w:szCs w:val="24"/>
          <w:lang w:eastAsia="uk-UA"/>
        </w:rPr>
        <w:t>е</w:t>
      </w:r>
      <w:r w:rsidRPr="001C1CD4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="00841A53">
        <w:rPr>
          <w:rFonts w:ascii="Times New Roman" w:eastAsia="Times New Roman" w:hAnsi="Times New Roman" w:cs="Times New Roman"/>
          <w:sz w:val="24"/>
          <w:szCs w:val="24"/>
          <w:lang w:eastAsia="uk-UA"/>
        </w:rPr>
        <w:t>ь</w:t>
      </w:r>
      <w:r w:rsidRPr="001C1C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41A53">
        <w:rPr>
          <w:rFonts w:ascii="Times New Roman" w:eastAsia="Times New Roman" w:hAnsi="Times New Roman" w:cs="Times New Roman"/>
          <w:sz w:val="24"/>
          <w:szCs w:val="24"/>
          <w:lang w:eastAsia="uk-UA"/>
        </w:rPr>
        <w:t>00</w:t>
      </w:r>
      <w:r w:rsidRPr="001C1C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копій</w:t>
      </w:r>
      <w:r w:rsidR="00841A53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1C1CD4">
        <w:rPr>
          <w:rFonts w:ascii="Times New Roman" w:eastAsia="Times New Roman" w:hAnsi="Times New Roman" w:cs="Times New Roman"/>
          <w:sz w:val="24"/>
          <w:szCs w:val="24"/>
          <w:lang w:eastAsia="uk-UA"/>
        </w:rPr>
        <w:t>к)</w:t>
      </w:r>
      <w:r w:rsidRPr="00E320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грн. з ПДВ згідно з планом кошторисних асигнувань Замовника.</w:t>
      </w:r>
    </w:p>
    <w:p w:rsidR="00796993" w:rsidRPr="00796993" w:rsidRDefault="00C83D48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20C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Обґрунтування очікуваної вартості предмета закупівлі:</w:t>
      </w:r>
      <w:r w:rsidRPr="00E320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96993" w:rsidRPr="00E320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Визначення очікуваної вартості предмета закупівлі обумовлено аналізом споживання (річного та місячного) обсягу природнього газу за календарний рік (бюджетний період) 202</w:t>
      </w:r>
      <w:r w:rsidR="004E12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796993" w:rsidRPr="00E320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року. Планування закупівель, в тому числі визначення очікуваної вартості, є динамічним та безперервним процесом, що здійснюється замовниками протягом року.</w:t>
      </w:r>
    </w:p>
    <w:p w:rsidR="00C83D48" w:rsidRPr="00C83D48" w:rsidRDefault="00C83D48" w:rsidP="00C83D4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     </w:t>
      </w:r>
      <w:r w:rsidRPr="00C8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Розрахунок очікуваної вартості зазначеного товару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такі товари, доступні у відкритих джерелах інформації (Інтернет) тощо, а також беручи до уваги положення Постанови КМУ від 19 липня 2022 р. № 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установам», де врегульовано, що ТОВ “Газопостачальна компанія “Нафтогаз Трейдинг” постачає з 1 вересня 2022 р. до 3</w:t>
      </w:r>
      <w:r w:rsidR="004501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Pr="00C8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501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квіт</w:t>
      </w:r>
      <w:r w:rsidRPr="00C8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ня 202</w:t>
      </w:r>
      <w:r w:rsidR="004501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C8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р. (включно) природний газ бюджетним установам на умовах договору постачання, укладеного з цим товариством на період до 31 грудня 202</w:t>
      </w:r>
      <w:r w:rsidR="004501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C8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р., за ціною, що становить 16390,00 гривень з урахуванням податку на додану вартість за 1000 куб. метрів газу, а з урахуванням тарифу на послуги з транспортування природного газу для точки виходу та коефіцієнта, який застосовується у разі замовлення потужності на добу наперед, за ціною 1</w:t>
      </w:r>
      <w:r w:rsidR="00F44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7052</w:t>
      </w:r>
      <w:r w:rsidRPr="00C8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F44F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60</w:t>
      </w:r>
      <w:r w:rsidRPr="00C83D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грн за 1000 куб.метрів газу.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20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Нормативно-правове регулювання</w:t>
      </w:r>
      <w:r w:rsidRPr="00E320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Закупівля природного газу, регулюються Законом України «Про публічні закупівлі» від 25.12.2015 № 922-VIII зі змінами, Особливостями, </w:t>
      </w:r>
      <w:r w:rsidRPr="00E320C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Законом України «Про ринок природного газу», Правилами постачання природного газу, що затверджені Постановою НКРЕКП №2496 від 30.09.2015 р.  зі змінами (надалі – Правила постачання), Кодексом газотранспортної системи, затверджений Постановою НКРЕКП  №2493 від 30.09.2015 р. зі змінами (надалі – Кодекс ГТС), Кодексом газорозподільних систем, затверджений НКРЕКП  № 2494 від 30.09.2015 р. зі змінами (надалі – Кодекс ГРС), Постановою НКРЕКП №3010 від 24.12.2019 «Про прийняття Остаточного рішення про сертифікацію оператора газотранспортної системи», Постановою НКРЕКП №3011 від 24.12.2019 «Про видачу ліцензії з транспортування природного газу ТОВ «ОПЕРАТОР ГТС УКРАЇНИ», Постановою НКРЕКП №3013 від 24.12.2019року «Про встановлення  тарифів для ТОВ «ОПЕРАТОР ГТС УКРАЇНИ» на послуги транспортування природного газу для точок входу і точок виходу на регуляторний період 2020-2024 роки», Постановою НКРЕКП №1611 від 26.08.2020 року «Про затвердження Змін до деяких постанов НКРЕКП»  та іншими нормативними документами, </w:t>
      </w:r>
      <w:r w:rsidR="004846F2" w:rsidRPr="00E320C2">
        <w:rPr>
          <w:rFonts w:ascii="Times New Roman" w:hAnsi="Times New Roman" w:cs="Times New Roman"/>
          <w:sz w:val="24"/>
          <w:szCs w:val="24"/>
        </w:rPr>
        <w:t>що регулюють відносини у сфері постачання природного газу.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Обґрунтування технічних характеристик</w:t>
      </w:r>
      <w:r w:rsidRPr="00796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</w:t>
      </w: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Термін постачання — </w:t>
      </w:r>
      <w:r w:rsidRPr="000A2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з </w:t>
      </w:r>
      <w:r w:rsidR="004E122E" w:rsidRPr="000A2CC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01.0</w:t>
      </w:r>
      <w:r w:rsidR="00F44FE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5</w:t>
      </w:r>
      <w:r w:rsidR="004E122E" w:rsidRPr="000A2CC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.2025 р.</w:t>
      </w: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 </w:t>
      </w:r>
      <w:r w:rsidR="00F61083" w:rsidRPr="00F610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</w:t>
      </w:r>
      <w:r w:rsidRPr="00796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 3</w:t>
      </w:r>
      <w:r w:rsidR="00F44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</w:t>
      </w:r>
      <w:r w:rsidRPr="00796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</w:t>
      </w:r>
      <w:r w:rsidR="00F44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10</w:t>
      </w:r>
      <w:r w:rsidRPr="00796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.202</w:t>
      </w:r>
      <w:r w:rsidR="004E1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5</w:t>
      </w:r>
      <w:r w:rsidRPr="00796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р. включно</w:t>
      </w: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Кількісною характеристикою предмета закупівлі є обсяг споживання природного газу. За одиницю виміру кількості природного газу приймається метр кубічний, яка у скороченому вигляді має позначення – «м</w:t>
      </w:r>
      <w:r w:rsidRPr="00796993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uk-UA"/>
        </w:rPr>
        <w:t>3</w:t>
      </w: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». Обсяг, необхідний для забезпечення діяльності та власних потреб об’єктів замовника, та враховуючи обсяги споживання попереднього та поточного календарних років, становить</w:t>
      </w:r>
      <w:r w:rsidRPr="00C40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C49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1</w:t>
      </w:r>
      <w:r w:rsidRPr="00B06DE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EC498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0</w:t>
      </w:r>
      <w:bookmarkStart w:id="0" w:name="_GoBack"/>
      <w:bookmarkEnd w:id="0"/>
      <w:r w:rsidR="00C220A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0</w:t>
      </w:r>
      <w:r w:rsidR="0047016A" w:rsidRPr="00B06DE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0</w:t>
      </w:r>
      <w:r w:rsidRPr="00B06DE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,00</w:t>
      </w:r>
      <w:r w:rsidRPr="00B06D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</w:t>
      </w:r>
      <w:r w:rsidRPr="00796993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uk-UA"/>
        </w:rPr>
        <w:t>3</w:t>
      </w: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на 202</w:t>
      </w:r>
      <w:r w:rsidR="00C220A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 такі показники встановлені зокрема: розділом ІІІ Кодексу ГТС; ДСТУ EN ISO 6974-1:2021 (EN ISO 6974-1:2012, IDT; ISO 6974-1:2012, IDT); ДСТУ EN ISO 6974-2:2021 (EN ISO 6974-2:2012, IDT; ISO 6974-2:2012, IDT); ДСТУ EN ISO 6974-3:2021 (EN ISO 6974-3:2018, IDT; ISO 6974-3:2018, IDT); ДСТУ EN ISO 6974-5:2021 (EN ISO 6974-5:2014, IDT; ISO 6974-5:2014, IDT); ДСТУ EN ISO 16960:2021 (EN ISO 16960:2014, IDT; ISO 16960:2014, IDT).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положення пункту 13 частини 1 розділу ІІІ Кодексу ГТС встановлено, що Природний газ, що подається в газотранспортну систему, повинен відповідати таким вимогам: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вміст метану (C1), мол. % - мінімум 90;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вміст етану (C2), мол. % - максимум 7;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вміст пропану (C3), мол. % - максимум 3;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вміст бутану (C4), мол. % - максимум 2;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вміст пентану та інших більш важких вуглеводнів (C5+), мол. % - максимум 1;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вміст азоту (N2), мол. % - максимум 5;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вміст вуглецю (CO2), мол. % - максимум 2;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вміст кисню (O2), мол. % - максимум 0,2;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вища теплота згоряння (25 °C/20 °C):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мінімум - 36,20 МДж/м-3 (10,06 кВт</w:t>
      </w:r>
      <w:r w:rsidRPr="00796993">
        <w:rPr>
          <w:rFonts w:ascii="Cambria Math" w:eastAsia="Times New Roman" w:hAnsi="Cambria Math" w:cs="Times New Roman"/>
          <w:color w:val="000000"/>
          <w:sz w:val="24"/>
          <w:szCs w:val="24"/>
          <w:lang w:eastAsia="uk-UA"/>
        </w:rPr>
        <w:t>⋅</w:t>
      </w: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год/м-3);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максимум - 38,30 МДж/м-3 (10,64 кВт</w:t>
      </w:r>
      <w:r w:rsidRPr="00796993">
        <w:rPr>
          <w:rFonts w:ascii="Cambria Math" w:eastAsia="Times New Roman" w:hAnsi="Cambria Math" w:cs="Times New Roman"/>
          <w:color w:val="000000"/>
          <w:sz w:val="24"/>
          <w:szCs w:val="24"/>
          <w:lang w:eastAsia="uk-UA"/>
        </w:rPr>
        <w:t>⋅</w:t>
      </w: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год/м-3);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вища теплота згоряння (25 °C/0 °C):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мінімум - 38,85 МДж/м-3 (10,80 кВт</w:t>
      </w:r>
      <w:r w:rsidRPr="00796993">
        <w:rPr>
          <w:rFonts w:ascii="Cambria Math" w:eastAsia="Times New Roman" w:hAnsi="Cambria Math" w:cs="Times New Roman"/>
          <w:color w:val="000000"/>
          <w:sz w:val="24"/>
          <w:szCs w:val="24"/>
          <w:lang w:eastAsia="uk-UA"/>
        </w:rPr>
        <w:t>⋅</w:t>
      </w: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год/м-3);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максимум - 41,10 МДж/м-3 (11,42 кВт</w:t>
      </w:r>
      <w:r w:rsidRPr="00796993">
        <w:rPr>
          <w:rFonts w:ascii="Cambria Math" w:eastAsia="Times New Roman" w:hAnsi="Cambria Math" w:cs="Times New Roman"/>
          <w:color w:val="000000"/>
          <w:sz w:val="24"/>
          <w:szCs w:val="24"/>
          <w:lang w:eastAsia="uk-UA"/>
        </w:rPr>
        <w:t>⋅</w:t>
      </w: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год/м-3);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нижча теплота згоряння (25 °C/20 °C):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мінімум - 32,66 МДж/м-3 (09,07 кВт</w:t>
      </w:r>
      <w:r w:rsidRPr="00796993">
        <w:rPr>
          <w:rFonts w:ascii="Cambria Math" w:eastAsia="Times New Roman" w:hAnsi="Cambria Math" w:cs="Times New Roman"/>
          <w:color w:val="000000"/>
          <w:sz w:val="24"/>
          <w:szCs w:val="24"/>
          <w:lang w:eastAsia="uk-UA"/>
        </w:rPr>
        <w:t>⋅</w:t>
      </w: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год/м-3);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максимум - 34,54 МДж/м-3 (09,59 кВт</w:t>
      </w:r>
      <w:r w:rsidRPr="00796993">
        <w:rPr>
          <w:rFonts w:ascii="Cambria Math" w:eastAsia="Times New Roman" w:hAnsi="Cambria Math" w:cs="Times New Roman"/>
          <w:color w:val="000000"/>
          <w:sz w:val="24"/>
          <w:szCs w:val="24"/>
          <w:lang w:eastAsia="uk-UA"/>
        </w:rPr>
        <w:t>⋅</w:t>
      </w: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год/м-3);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температура точки роси за вологою °С - при абсолютному тиску газу 3,92 МПа - не перевищує мінус 8 (-8);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температура точки роси за вуглеводнями - при температурі газу не нижче 0 °С - не перевищує 0°С;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вміст механічних домішок: відсутні;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вміст сірководню, г/м-3 - максимум 0,006;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вміст меркаптанової сірки, г/м-3 - максимум 0,02.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Решта технічних та якісних характеристик можливо згаданих за умовами тендерної документації передбачено в перелічених вище нормативних документах.</w:t>
      </w:r>
    </w:p>
    <w:p w:rsidR="00796993" w:rsidRPr="00796993" w:rsidRDefault="00796993" w:rsidP="00796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96993" w:rsidRPr="00E320C2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E320C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  <w:t>Нормативно-правові акти, що формують підстави застосування процедури відкритих торгів: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1. Закон України “Про публічні закупівлі” №922-VIII від 25.12.2015 року зі змінами;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2. Постанова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 жовтня 2022 р. № 1178;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3. Постанова Кабінету Міністрів України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від 19 липня 2022 р. № 812;</w:t>
      </w:r>
    </w:p>
    <w:p w:rsidR="00796993" w:rsidRPr="00796993" w:rsidRDefault="00796993" w:rsidP="00796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9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4. Інші нормативні акти сфери публічних закупівель та сфері постачання природного газу кінцевому споживачу.</w:t>
      </w:r>
    </w:p>
    <w:p w:rsidR="00A64097" w:rsidRDefault="00A64097"/>
    <w:sectPr w:rsidR="00A640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93"/>
    <w:rsid w:val="000A2CCA"/>
    <w:rsid w:val="001C1CD4"/>
    <w:rsid w:val="004501AE"/>
    <w:rsid w:val="0047016A"/>
    <w:rsid w:val="004846F2"/>
    <w:rsid w:val="004E122E"/>
    <w:rsid w:val="00550CBB"/>
    <w:rsid w:val="00796993"/>
    <w:rsid w:val="00841A53"/>
    <w:rsid w:val="009B73EA"/>
    <w:rsid w:val="00A64097"/>
    <w:rsid w:val="00B06DE3"/>
    <w:rsid w:val="00BD2774"/>
    <w:rsid w:val="00C220AC"/>
    <w:rsid w:val="00C40C22"/>
    <w:rsid w:val="00C83D48"/>
    <w:rsid w:val="00E320C2"/>
    <w:rsid w:val="00EC4988"/>
    <w:rsid w:val="00F44FED"/>
    <w:rsid w:val="00F50C17"/>
    <w:rsid w:val="00F6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DFD3"/>
  <w15:chartTrackingRefBased/>
  <w15:docId w15:val="{7FD644B7-BC89-420B-B495-E0A1545B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796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5145</Words>
  <Characters>2933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18</cp:revision>
  <dcterms:created xsi:type="dcterms:W3CDTF">2023-06-29T08:54:00Z</dcterms:created>
  <dcterms:modified xsi:type="dcterms:W3CDTF">2025-04-16T06:22:00Z</dcterms:modified>
</cp:coreProperties>
</file>