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виконання постанови Кабінету Міністрів України від 16 грудня 2020 року № 1266, у зв’язку з оприлюдненням оголошення про проведення відкритих торгів</w:t>
      </w:r>
      <w:r w:rsidDel="00000000" w:rsidR="00000000" w:rsidRPr="00000000">
        <w:rPr>
          <w:rtl w:val="0"/>
        </w:rPr>
      </w:r>
    </w:p>
    <w:tbl>
      <w:tblPr>
        <w:tblStyle w:val="Table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6627"/>
        <w:tblGridChange w:id="0">
          <w:tblGrid>
            <w:gridCol w:w="2943"/>
            <w:gridCol w:w="6627"/>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Назва предмета закупівлі:</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Код ДК 021:2015: 30210000-4 – «Машини для обробки даних (апаратна частина)»   (Системні блоки – 17 шт., ноутбуки – 3 шт.)</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br w:type="textWrapping"/>
                <w:t xml:space="preserve">Ідентифікатор закупівлі </w:t>
              </w:r>
            </w:hyperlink>
            <w:hyperlink r:id="rId8">
              <w:r w:rsidDel="00000000" w:rsidR="00000000" w:rsidRPr="00000000">
                <w:rPr>
                  <w:rFonts w:ascii="Times New Roman" w:cs="Times New Roman" w:eastAsia="Times New Roman" w:hAnsi="Times New Roman"/>
                  <w:b w:val="0"/>
                  <w:i w:val="0"/>
                  <w:smallCaps w:val="0"/>
                  <w:strike w:val="0"/>
                  <w:color w:val="000000"/>
                  <w:sz w:val="22"/>
                  <w:szCs w:val="22"/>
                  <w:u w:val="none"/>
                  <w:shd w:fill="f3f3f3" w:val="clear"/>
                  <w:vertAlign w:val="baseline"/>
                  <w:rtl w:val="0"/>
                </w:rPr>
                <w:t xml:space="preserve">UA-2021-11-19-0050891-</w:t>
              </w:r>
            </w:hyperlink>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Обґрунтування технічних та якісних характеристик предмета закупівлі</w:t>
            </w:r>
            <w:r w:rsidDel="00000000" w:rsidR="00000000" w:rsidRPr="00000000">
              <w:rPr>
                <w:rtl w:val="0"/>
              </w:rPr>
            </w:r>
          </w:p>
        </w:tc>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 метою забезпечення освітнього процесу в закладах загальної середньої освіти, необхідно закупити системні блоки персональних комп’ютерів для  учнів закладів загальної середньої освіти.</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647"/>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Технічні та якісні характеристики предмета закупівлі визначені відповідно до:</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Наказу МОН № 1440 від 02.11.2017 р. «Про затвердження Типового переліку комп’ютерного обладнання для закладів дошкільної, загальної середньої та професійної (професійно-технічної) освіти із змінами, внесеними згідно з Наказом МОН № 458 від 27.04.2021 року";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Обсяг закупівлі: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Системні блоки ПК – 17 шт..</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Ноутбуки – 3 шт.</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Місце поставки: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заклади загальної середньої освіти Новоодеської міської ради.</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Строк поставки: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 рік (до 23 грудня 2021 року).</w:t>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Обґрунтування розміру бюджетного призначення</w:t>
            </w: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Розмір бюджетного призначення  визначений на підставі попередніх розрахунків до кошторису управління освіти Новоодеської міської ради на 2021 рік та фактичної потреби закладів освіти  та складає 417 213 грн.</w:t>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Обґрунтування очікуваної вартості предмета закупівлі</w:t>
            </w:r>
            <w:r w:rsidDel="00000000" w:rsidR="00000000" w:rsidRPr="00000000">
              <w:rPr>
                <w:rtl w:val="0"/>
              </w:rPr>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Очікувана вартість предмета закупівлі складає 417 213 (Чотириста сімнадцять тисяч двісті тринадцять грн. 00 коп.) грн. з ПДВ.</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Очікувану вартість предмета закупівлі розраховано на підставі фактичної потреби закладів освіти Новоодеської міської ради та складає 417 213 грн.</w:t>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021" w:top="1021" w:left="170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uk-UA"/>
    </w:rPr>
  </w:style>
  <w:style w:type="paragraph" w:styleId="Заголовок1">
    <w:name w:val="Заголовок 1"/>
    <w:basedOn w:val="Обычный"/>
    <w:next w:val="Заголовок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b w:val="1"/>
      <w:bCs w:val="1"/>
      <w:w w:val="100"/>
      <w:kern w:val="36"/>
      <w:position w:val="-1"/>
      <w:sz w:val="48"/>
      <w:szCs w:val="48"/>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Заголовок1Знак">
    <w:name w:val="Заголовок 1 Знак"/>
    <w:next w:val="Заголовок1Знак"/>
    <w:autoRedefine w:val="0"/>
    <w:hidden w:val="0"/>
    <w:qFormat w:val="0"/>
    <w:rPr>
      <w:rFonts w:ascii="Times New Roman" w:eastAsia="Times New Roman" w:hAnsi="Times New Roman"/>
      <w:b w:val="1"/>
      <w:bCs w:val="1"/>
      <w:w w:val="100"/>
      <w:kern w:val="36"/>
      <w:position w:val="-1"/>
      <w:sz w:val="48"/>
      <w:szCs w:val="48"/>
      <w:effect w:val="none"/>
      <w:vertAlign w:val="baseline"/>
      <w:cs w:val="0"/>
      <w:em w:val="none"/>
      <w:lang/>
    </w:rPr>
  </w:style>
  <w:style w:type="character" w:styleId="js-apiid">
    <w:name w:val="js-apiid"/>
    <w:basedOn w:val="Основнойшрифтабзаца"/>
    <w:next w:val="js-apiid"/>
    <w:autoRedefine w:val="0"/>
    <w:hidden w:val="0"/>
    <w:qFormat w:val="0"/>
    <w:rPr>
      <w:w w:val="100"/>
      <w:position w:val="-1"/>
      <w:effect w:val="none"/>
      <w:vertAlign w:val="baseline"/>
      <w:cs w:val="0"/>
      <w:em w:val="none"/>
      <w:lang/>
    </w:rPr>
  </w:style>
  <w:style w:type="character" w:styleId="rvts0">
    <w:name w:val="rvts0"/>
    <w:basedOn w:val="Основнойшрифтабзаца"/>
    <w:next w:val="rvts0"/>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rvps2">
    <w:name w:val="rvps2"/>
    <w:basedOn w:val="Обычный"/>
    <w:next w:val="rvps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k-UA"/>
    </w:rPr>
  </w:style>
  <w:style w:type="paragraph" w:styleId="Обычный(веб),Знак2,Знак18Знак,Знак17Знак1,Обычный(веб)Знак1,Обычный(веб)ЗнакЗнак1,Обычный(Web)ЗнакЗнакЗнакЗнак,Обычный(веб)ЗнакЗнакЗнак,Обычный(веб)ЗнакЗнак,Обычный(веб)Знак2ЗнакЗнак,Обычный(веб)ЗнакЗнак1ЗнакЗнак,Знак5Знак">
    <w:name w:val="Обычный (веб),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Обычный"/>
    <w:next w:val="Обычный(веб),Знак2,Знак18Знак,Знак17Знак1,Обычный(веб)Знак1,Обычный(веб)ЗнакЗнак1,Обычный(Web)ЗнакЗнакЗнакЗнак,Обычный(веб)ЗнакЗнакЗнак,Обычный(веб)ЗнакЗнак,Обычный(веб)Знак2ЗнакЗнак,Обычный(веб)ЗнакЗнак1ЗнакЗнак,Знак5Знак"/>
    <w:autoRedefine w:val="0"/>
    <w:hidden w:val="0"/>
    <w:qFormat w:val="0"/>
    <w:pPr>
      <w:suppressAutoHyphens w:val="1"/>
      <w:spacing w:after="0" w:afterAutospacing="1" w:beforeAutospacing="1" w:line="240" w:lineRule="auto"/>
      <w:ind w:leftChars="-1" w:rightChars="0" w:firstLineChars="-1"/>
      <w:textDirection w:val="btLr"/>
      <w:textAlignment w:val="top"/>
      <w:outlineLvl w:val="0"/>
    </w:pPr>
    <w:rPr>
      <w:rFonts w:ascii="Times New Roman" w:eastAsia="Times New Roman" w:hAnsi="Times New Roman"/>
      <w:color w:val="00000a"/>
      <w:w w:val="100"/>
      <w:position w:val="-1"/>
      <w:sz w:val="24"/>
      <w:szCs w:val="24"/>
      <w:effect w:val="none"/>
      <w:vertAlign w:val="baseline"/>
      <w:cs w:val="0"/>
      <w:em w:val="none"/>
      <w:lang w:bidi="ar-SA" w:eastAsia="und" w:val="und"/>
    </w:rPr>
  </w:style>
  <w:style w:type="character" w:styleId="Обычный(веб)Знак,Знак2Знак,Знак18ЗнакЗнак,Знак17Знак1Знак,Обычный(веб)Знак1Знак,Обычный(веб)ЗнакЗнак1Знак,Обычный(Web)ЗнакЗнакЗнакЗнакЗнак,Обычный(веб)ЗнакЗнакЗнакЗнак,Обычный(веб)ЗнакЗнакЗнак1,Знак5ЗнакЗнак,Знак17Знак">
    <w:name w:val="Обычный (веб) Знак,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Знак17 Знак"/>
    <w:next w:val="Обычный(веб)Знак,Знак2Знак,Знак18ЗнакЗнак,Знак17Знак1Знак,Обычный(веб)Знак1Знак,Обычный(веб)ЗнакЗнак1Знак,Обычный(Web)ЗнакЗнакЗнакЗнакЗнак,Обычный(веб)ЗнакЗнакЗнакЗнак,Обычный(веб)ЗнакЗнакЗнак1,Знак5ЗнакЗнак,Знак17Знак"/>
    <w:autoRedefine w:val="0"/>
    <w:hidden w:val="0"/>
    <w:qFormat w:val="0"/>
    <w:rPr>
      <w:rFonts w:ascii="Times New Roman" w:eastAsia="Times New Roman" w:hAnsi="Times New Roman"/>
      <w:color w:val="00000a"/>
      <w:w w:val="100"/>
      <w:position w:val="-1"/>
      <w:sz w:val="24"/>
      <w:szCs w:val="24"/>
      <w:effect w:val="none"/>
      <w:vertAlign w:val="baseline"/>
      <w:cs w:val="0"/>
      <w:em w:val="none"/>
      <w:lang w:eastAsia="und" w:val="und"/>
    </w:rPr>
  </w:style>
  <w:style w:type="character" w:styleId="rvts44">
    <w:name w:val="rvts44"/>
    <w:next w:val="rvts44"/>
    <w:autoRedefine w:val="0"/>
    <w:hidden w:val="0"/>
    <w:qFormat w:val="0"/>
    <w:rPr>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uk-UA"/>
    </w:rPr>
  </w:style>
  <w:style w:type="character" w:styleId="ТекствыноскиЗнак">
    <w:name w:val="Текст выноски Знак"/>
    <w:next w:val="ТекствыноскиЗнак"/>
    <w:autoRedefine w:val="0"/>
    <w:hidden w:val="0"/>
    <w:qFormat w:val="0"/>
    <w:rPr>
      <w:rFonts w:ascii="Segoe UI" w:cs="Segoe UI" w:hAnsi="Segoe UI"/>
      <w:w w:val="100"/>
      <w:position w:val="-1"/>
      <w:sz w:val="18"/>
      <w:szCs w:val="18"/>
      <w:effect w:val="none"/>
      <w:vertAlign w:val="baseline"/>
      <w:cs w:val="0"/>
      <w:em w:val="none"/>
      <w:lang w:eastAsia="en-US" w:val="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rozorro.gov.ua/tender/UA-2020-12-31-001413-b" TargetMode="External"/><Relationship Id="rId8" Type="http://schemas.openxmlformats.org/officeDocument/2006/relationships/hyperlink" Target="https://prozorro.gov.ua/tender/UA-2020-12-31-00141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aSN0eLtmNYOzpjGb2wEtQx10g==">AMUW2mVCsooUaHw/8v73hh8b9gkDbFfpUIXcPL6Xq/XS7aIh337s5DuwUTTta3YUR5JL7M+OJWaKyuwCrvX//rnNVpJHDLhk2PWtxlUsZWfUbc2SABPNxfI=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2021-11-23T08:37:00Z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file>