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50" w:rsidRDefault="00985750" w:rsidP="00323615">
      <w:pPr>
        <w:widowControl/>
        <w:shd w:val="clear" w:color="auto" w:fill="B8CCE4"/>
        <w:jc w:val="center"/>
        <w:rPr>
          <w:rFonts w:ascii="Times New Roman" w:eastAsia="Times New Roman" w:hAnsi="Times New Roman" w:cs="Times New Roman"/>
          <w:b/>
          <w:sz w:val="24"/>
          <w:szCs w:val="24"/>
        </w:rPr>
      </w:pPr>
    </w:p>
    <w:p w:rsidR="00985750" w:rsidRDefault="00985750" w:rsidP="00323615">
      <w:pPr>
        <w:widowControl/>
        <w:shd w:val="clear" w:color="auto" w:fill="B8CCE4"/>
        <w:jc w:val="center"/>
        <w:rPr>
          <w:rFonts w:ascii="Times New Roman" w:eastAsia="Times New Roman" w:hAnsi="Times New Roman" w:cs="Times New Roman"/>
          <w:b/>
          <w:sz w:val="24"/>
          <w:szCs w:val="24"/>
        </w:rPr>
      </w:pPr>
    </w:p>
    <w:p w:rsidR="00323615" w:rsidRDefault="00323615" w:rsidP="00323615">
      <w:pPr>
        <w:widowControl/>
        <w:shd w:val="clear" w:color="auto" w:fill="B8CCE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основних досягнень і проблемних питань</w:t>
      </w:r>
    </w:p>
    <w:p w:rsidR="00323615" w:rsidRDefault="00323615" w:rsidP="00323615">
      <w:pPr>
        <w:widowControl/>
        <w:ind w:firstLine="709"/>
        <w:rPr>
          <w:rFonts w:ascii="Times New Roman" w:eastAsia="Times New Roman" w:hAnsi="Times New Roman" w:cs="Times New Roman"/>
          <w:b/>
          <w:sz w:val="24"/>
          <w:szCs w:val="24"/>
        </w:rPr>
      </w:pPr>
    </w:p>
    <w:p w:rsidR="00323615" w:rsidRDefault="00323615" w:rsidP="00323615">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Мета:</w:t>
      </w:r>
      <w:r>
        <w:rPr>
          <w:rFonts w:ascii="Times New Roman" w:eastAsia="Times New Roman" w:hAnsi="Times New Roman" w:cs="Times New Roman"/>
          <w:sz w:val="24"/>
          <w:szCs w:val="24"/>
        </w:rPr>
        <w:t xml:space="preserve"> сформувати загальну картину внеску кожної з зацікавлених сторін у підтримку ВПО на рівні громади.</w:t>
      </w:r>
    </w:p>
    <w:p w:rsidR="00323615" w:rsidRDefault="00323615" w:rsidP="00323615">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Багато ВПО, які приїхали в місто, потребують матеріальної, соціальної та іншої допомоги. Ці люди стикаються з проблемами розміщення, забезпечення належних умов проживання, працевлаштування тощо. </w:t>
      </w:r>
    </w:p>
    <w:p w:rsidR="00323615" w:rsidRDefault="00323615" w:rsidP="00323615">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стратегічної сесії визначили такі головні проблеми ВПО в м. Нова Одеса:</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 працевлаштування/зайнятості (відсутність вакантних місць, відсутність потрібної кваліфікації, неконкурентна заробітна плата);</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забезпечення житлом ВПО (відсутність необхідної кількості житла, низька якість житла, відсутність компенсації);</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проблема з фінансовою допомогою (зменшення категорій для отримання виплат, термін нарахування виплат, відсутність документів);</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 доступом до освіти (відсутність технічних можливостей, навчальних матеріалів, необізнаність про програми освіти дорослих);</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 соціальною адаптацією ВПО в громаді (несприйняття ВПО місцевими жителями, організація дозвілля, низька зайнятість).</w:t>
      </w:r>
    </w:p>
    <w:p w:rsidR="00323615" w:rsidRDefault="00323615" w:rsidP="00323615">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кожному з окреслених проблемних питань Рада з питань ВПО визначилась з поточною ситуацією та досягненнями, а також з питаннями, які потребують вирішення. Також учасники стратегічної сесії визначились із колом відповідальних осіб у кожному з напрямків.</w:t>
      </w:r>
    </w:p>
    <w:tbl>
      <w:tblPr>
        <w:tblW w:w="9487"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1729"/>
        <w:gridCol w:w="1822"/>
        <w:gridCol w:w="1957"/>
        <w:gridCol w:w="1970"/>
        <w:gridCol w:w="2009"/>
      </w:tblGrid>
      <w:tr w:rsidR="00323615" w:rsidTr="009009EE">
        <w:tc>
          <w:tcPr>
            <w:tcW w:w="1729"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Проблемне питання</w:t>
            </w:r>
          </w:p>
        </w:tc>
        <w:tc>
          <w:tcPr>
            <w:tcW w:w="1822"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 вдалося вирішити?</w:t>
            </w:r>
          </w:p>
        </w:tc>
        <w:tc>
          <w:tcPr>
            <w:tcW w:w="1957"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 на стадії вирішення?</w:t>
            </w:r>
          </w:p>
        </w:tc>
        <w:tc>
          <w:tcPr>
            <w:tcW w:w="1970"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 потребує вирішення?</w:t>
            </w:r>
          </w:p>
        </w:tc>
        <w:tc>
          <w:tcPr>
            <w:tcW w:w="2009"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Хто має це вирішувати?</w:t>
            </w:r>
          </w:p>
        </w:tc>
      </w:tr>
      <w:tr w:rsidR="00323615" w:rsidTr="009009EE">
        <w:tc>
          <w:tcPr>
            <w:tcW w:w="9487" w:type="dxa"/>
            <w:gridSpan w:val="5"/>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w:t>
            </w:r>
          </w:p>
        </w:tc>
      </w:tr>
      <w:tr w:rsidR="00323615" w:rsidTr="009009EE">
        <w:tc>
          <w:tcPr>
            <w:tcW w:w="1729" w:type="dxa"/>
          </w:tcPr>
          <w:p w:rsidR="00323615" w:rsidRDefault="00323615" w:rsidP="00323615">
            <w:pPr>
              <w:widowControl/>
              <w:numPr>
                <w:ilvl w:val="0"/>
                <w:numId w:val="3"/>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якісна і доступна освіта;</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відсутність </w:t>
            </w:r>
            <w:proofErr w:type="spellStart"/>
            <w:r>
              <w:rPr>
                <w:rFonts w:ascii="Times New Roman" w:eastAsia="Times New Roman" w:hAnsi="Times New Roman" w:cs="Times New Roman"/>
                <w:sz w:val="24"/>
                <w:szCs w:val="24"/>
              </w:rPr>
              <w:t>укриттів</w:t>
            </w:r>
            <w:proofErr w:type="spellEnd"/>
            <w:r>
              <w:rPr>
                <w:rFonts w:ascii="Times New Roman" w:eastAsia="Times New Roman" w:hAnsi="Times New Roman" w:cs="Times New Roman"/>
                <w:sz w:val="24"/>
                <w:szCs w:val="24"/>
              </w:rPr>
              <w:t>;</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недостатність матеріально-</w:t>
            </w:r>
            <w:proofErr w:type="spellStart"/>
            <w:r>
              <w:rPr>
                <w:rFonts w:ascii="Times New Roman" w:eastAsia="Times New Roman" w:hAnsi="Times New Roman" w:cs="Times New Roman"/>
                <w:sz w:val="24"/>
                <w:szCs w:val="24"/>
              </w:rPr>
              <w:t>технічої</w:t>
            </w:r>
            <w:proofErr w:type="spellEnd"/>
            <w:r>
              <w:rPr>
                <w:rFonts w:ascii="Times New Roman" w:eastAsia="Times New Roman" w:hAnsi="Times New Roman" w:cs="Times New Roman"/>
                <w:sz w:val="24"/>
                <w:szCs w:val="24"/>
              </w:rPr>
              <w:t xml:space="preserve"> бази;</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кадрове забезпечення;</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 продовжують навчатися за місцем реєстрації</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молоді</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Асистент дитини</w:t>
            </w:r>
          </w:p>
        </w:tc>
        <w:tc>
          <w:tcPr>
            <w:tcW w:w="1822" w:type="dxa"/>
          </w:tcPr>
          <w:p w:rsidR="00323615" w:rsidRDefault="00323615" w:rsidP="00323615">
            <w:pPr>
              <w:widowControl/>
              <w:numPr>
                <w:ilvl w:val="0"/>
                <w:numId w:val="5"/>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першочерговість влаштування</w:t>
            </w:r>
          </w:p>
          <w:p w:rsidR="00323615" w:rsidRDefault="00323615" w:rsidP="00323615">
            <w:pPr>
              <w:widowControl/>
              <w:numPr>
                <w:ilvl w:val="0"/>
                <w:numId w:val="5"/>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безкоштовне харчування</w:t>
            </w:r>
          </w:p>
          <w:p w:rsidR="00323615" w:rsidRDefault="00323615" w:rsidP="00323615">
            <w:pPr>
              <w:widowControl/>
              <w:numPr>
                <w:ilvl w:val="0"/>
                <w:numId w:val="5"/>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всі школи міста працюють </w:t>
            </w:r>
            <w:proofErr w:type="spellStart"/>
            <w:r>
              <w:rPr>
                <w:rFonts w:ascii="Times New Roman" w:eastAsia="Times New Roman" w:hAnsi="Times New Roman" w:cs="Times New Roman"/>
                <w:sz w:val="24"/>
                <w:szCs w:val="24"/>
              </w:rPr>
              <w:t>офлайн</w:t>
            </w:r>
            <w:proofErr w:type="spellEnd"/>
          </w:p>
        </w:tc>
        <w:tc>
          <w:tcPr>
            <w:tcW w:w="1957" w:type="dxa"/>
          </w:tcPr>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підготовка </w:t>
            </w:r>
            <w:proofErr w:type="spellStart"/>
            <w:r>
              <w:rPr>
                <w:rFonts w:ascii="Times New Roman" w:eastAsia="Times New Roman" w:hAnsi="Times New Roman" w:cs="Times New Roman"/>
                <w:sz w:val="24"/>
                <w:szCs w:val="24"/>
              </w:rPr>
              <w:t>укриттів</w:t>
            </w:r>
            <w:proofErr w:type="spellEnd"/>
            <w:r>
              <w:rPr>
                <w:rFonts w:ascii="Times New Roman" w:eastAsia="Times New Roman" w:hAnsi="Times New Roman" w:cs="Times New Roman"/>
                <w:sz w:val="24"/>
                <w:szCs w:val="24"/>
              </w:rPr>
              <w:t>, які ще не працюють</w:t>
            </w:r>
          </w:p>
        </w:tc>
        <w:tc>
          <w:tcPr>
            <w:tcW w:w="1970" w:type="dxa"/>
          </w:tcPr>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укриття, де не було</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донесення до батьків необхідність навчання дітей </w:t>
            </w:r>
            <w:proofErr w:type="spellStart"/>
            <w:r>
              <w:rPr>
                <w:rFonts w:ascii="Times New Roman" w:eastAsia="Times New Roman" w:hAnsi="Times New Roman" w:cs="Times New Roman"/>
                <w:sz w:val="24"/>
                <w:szCs w:val="24"/>
              </w:rPr>
              <w:t>офлайн</w:t>
            </w:r>
            <w:proofErr w:type="spellEnd"/>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підручниками</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кадрове питання</w:t>
            </w:r>
          </w:p>
        </w:tc>
        <w:tc>
          <w:tcPr>
            <w:tcW w:w="2009" w:type="dxa"/>
          </w:tcPr>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місцева влада;</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держава;</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донори;</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освіти</w:t>
            </w:r>
          </w:p>
        </w:tc>
      </w:tr>
      <w:tr w:rsidR="00323615" w:rsidTr="009009EE">
        <w:tc>
          <w:tcPr>
            <w:tcW w:w="9487" w:type="dxa"/>
            <w:gridSpan w:val="5"/>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Зайнятість</w:t>
            </w:r>
          </w:p>
        </w:tc>
      </w:tr>
      <w:tr w:rsidR="00323615" w:rsidTr="009009EE">
        <w:tc>
          <w:tcPr>
            <w:tcW w:w="1729" w:type="dxa"/>
          </w:tcPr>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відсутність робочих місць в межах ТГ;</w:t>
            </w:r>
          </w:p>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залучення НУО</w:t>
            </w:r>
          </w:p>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розмір заробітної плати</w:t>
            </w:r>
          </w:p>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відкриття власної справи</w:t>
            </w:r>
          </w:p>
        </w:tc>
        <w:tc>
          <w:tcPr>
            <w:tcW w:w="1822"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на облік в Центрі зайнятості</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НУО</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підвищено мінімальну заробітну плату</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ваучери</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спеціальностей в ПАУ</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реалізовується компенсація за працевлаштування ВПО</w:t>
            </w:r>
          </w:p>
        </w:tc>
        <w:tc>
          <w:tcPr>
            <w:tcW w:w="1957"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бізнесу</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НУО</w:t>
            </w:r>
          </w:p>
        </w:tc>
        <w:tc>
          <w:tcPr>
            <w:tcW w:w="1970"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нових робочих місць;</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ринку праці</w:t>
            </w:r>
          </w:p>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Times New Roman" w:eastAsia="Times New Roman" w:hAnsi="Times New Roman" w:cs="Times New Roman"/>
                <w:sz w:val="24"/>
                <w:szCs w:val="24"/>
              </w:rPr>
            </w:pPr>
          </w:p>
        </w:tc>
        <w:tc>
          <w:tcPr>
            <w:tcW w:w="2009"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зайнятості населення;</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бізнес;</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r>
      <w:tr w:rsidR="00323615" w:rsidTr="009009EE">
        <w:tc>
          <w:tcPr>
            <w:tcW w:w="9487" w:type="dxa"/>
            <w:gridSpan w:val="5"/>
          </w:tcPr>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Фінансова допомога</w:t>
            </w:r>
          </w:p>
        </w:tc>
      </w:tr>
      <w:tr w:rsidR="00323615" w:rsidTr="009009EE">
        <w:tc>
          <w:tcPr>
            <w:tcW w:w="1729" w:type="dxa"/>
          </w:tcPr>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зменшення кількості категорій для отримання виплат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ненадання субсидій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допомога вразливим категоріям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адресна допомога на опалення; </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документів для оформлення статусу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донорів, які надають грошову допомогу;</w:t>
            </w:r>
          </w:p>
          <w:p w:rsidR="00323615" w:rsidRDefault="00323615" w:rsidP="009009EE">
            <w:pPr>
              <w:widowControl/>
              <w:pBdr>
                <w:top w:val="nil"/>
                <w:left w:val="nil"/>
                <w:bottom w:val="nil"/>
                <w:right w:val="nil"/>
                <w:between w:val="nil"/>
              </w:pBdr>
              <w:ind w:left="-49"/>
              <w:jc w:val="both"/>
              <w:rPr>
                <w:rFonts w:ascii="Times New Roman" w:eastAsia="Times New Roman" w:hAnsi="Times New Roman" w:cs="Times New Roman"/>
                <w:sz w:val="24"/>
                <w:szCs w:val="24"/>
              </w:rPr>
            </w:pPr>
          </w:p>
        </w:tc>
        <w:tc>
          <w:tcPr>
            <w:tcW w:w="1822"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 підготовлені необхідні документи</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візки, милиці, гігієнічні набори</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паспортизація</w:t>
            </w:r>
          </w:p>
        </w:tc>
        <w:tc>
          <w:tcPr>
            <w:tcW w:w="1957"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були запити </w:t>
            </w:r>
          </w:p>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p>
        </w:tc>
        <w:tc>
          <w:tcPr>
            <w:tcW w:w="1970"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умов щодо нарахування виплат;</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альтернатив для виплат</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залучення донорів до створення нових видів виплат </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«Турбота», «Щедрик»</w:t>
            </w:r>
          </w:p>
        </w:tc>
        <w:tc>
          <w:tcPr>
            <w:tcW w:w="2009"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 Міністрів України;</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праці і соціального захисту населення;</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місцевого самоврядування;</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комунальні заклади та організації</w:t>
            </w:r>
          </w:p>
        </w:tc>
      </w:tr>
      <w:tr w:rsidR="00323615" w:rsidTr="009009EE">
        <w:tc>
          <w:tcPr>
            <w:tcW w:w="9487" w:type="dxa"/>
            <w:gridSpan w:val="5"/>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w:t>
            </w:r>
          </w:p>
        </w:tc>
      </w:tr>
      <w:tr w:rsidR="00323615" w:rsidTr="009009EE">
        <w:tc>
          <w:tcPr>
            <w:tcW w:w="1729" w:type="dxa"/>
          </w:tcPr>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відсутність достатньої кількості житла (відсутні гуртожитки, </w:t>
            </w:r>
            <w:proofErr w:type="spellStart"/>
            <w:r>
              <w:rPr>
                <w:rFonts w:ascii="Times New Roman" w:eastAsia="Times New Roman" w:hAnsi="Times New Roman" w:cs="Times New Roman"/>
                <w:sz w:val="24"/>
                <w:szCs w:val="24"/>
              </w:rPr>
              <w:t>соц.житло</w:t>
            </w:r>
            <w:proofErr w:type="spellEnd"/>
            <w:r>
              <w:rPr>
                <w:rFonts w:ascii="Times New Roman" w:eastAsia="Times New Roman" w:hAnsi="Times New Roman" w:cs="Times New Roman"/>
                <w:sz w:val="24"/>
                <w:szCs w:val="24"/>
              </w:rPr>
              <w:t>);</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вартість оренди житла;</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якість житла для ВПО;</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компенсація за пошкоджене та зруйноване житло;</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відсутність документів </w:t>
            </w:r>
          </w:p>
        </w:tc>
        <w:tc>
          <w:tcPr>
            <w:tcW w:w="1822"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першочергове розміщення в ДНЗ з подальшим розміщенням в приватному секторі;</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непривабливість для донорів</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пільгові умови оренди;</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ВПО побутовою технікою, меблями, </w:t>
            </w:r>
            <w:proofErr w:type="spellStart"/>
            <w:r>
              <w:rPr>
                <w:rFonts w:ascii="Times New Roman" w:eastAsia="Times New Roman" w:hAnsi="Times New Roman" w:cs="Times New Roman"/>
                <w:sz w:val="24"/>
                <w:szCs w:val="24"/>
              </w:rPr>
              <w:t>матрасами</w:t>
            </w:r>
            <w:proofErr w:type="spellEnd"/>
            <w:r>
              <w:rPr>
                <w:rFonts w:ascii="Times New Roman" w:eastAsia="Times New Roman" w:hAnsi="Times New Roman" w:cs="Times New Roman"/>
                <w:sz w:val="24"/>
                <w:szCs w:val="24"/>
              </w:rPr>
              <w:t>, подушками, ковдрами, іншими речами побуту</w:t>
            </w:r>
          </w:p>
        </w:tc>
        <w:tc>
          <w:tcPr>
            <w:tcW w:w="1957"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 житла;</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врегулювання питання компенсації та відновлення документів</w:t>
            </w:r>
          </w:p>
        </w:tc>
        <w:tc>
          <w:tcPr>
            <w:tcW w:w="1970"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житлового фонду соціального житла;</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інвентаризація майна територіальної громади</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розмір </w:t>
            </w:r>
            <w:proofErr w:type="spellStart"/>
            <w:r>
              <w:rPr>
                <w:rFonts w:ascii="Times New Roman" w:eastAsia="Times New Roman" w:hAnsi="Times New Roman" w:cs="Times New Roman"/>
                <w:sz w:val="24"/>
                <w:szCs w:val="24"/>
              </w:rPr>
              <w:t>компенсаціх</w:t>
            </w:r>
            <w:proofErr w:type="spellEnd"/>
          </w:p>
        </w:tc>
        <w:tc>
          <w:tcPr>
            <w:tcW w:w="2009"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та їх структурні підрозділи (відділ житла, відділ архітектури, виконавчий комітет);</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Верховна Рада України в частині нормативного забезпечення;</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надавачі правової допомоги на умовах </w:t>
            </w:r>
            <w:proofErr w:type="spellStart"/>
            <w:r>
              <w:rPr>
                <w:rFonts w:ascii="Times New Roman" w:eastAsia="Times New Roman" w:hAnsi="Times New Roman" w:cs="Times New Roman"/>
                <w:sz w:val="24"/>
                <w:szCs w:val="24"/>
                <w:highlight w:val="white"/>
              </w:rPr>
              <w:t>Pro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Bono</w:t>
            </w:r>
            <w:proofErr w:type="spellEnd"/>
          </w:p>
        </w:tc>
      </w:tr>
      <w:tr w:rsidR="00323615" w:rsidTr="009009EE">
        <w:tc>
          <w:tcPr>
            <w:tcW w:w="9487" w:type="dxa"/>
            <w:gridSpan w:val="5"/>
          </w:tcPr>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адаптація</w:t>
            </w:r>
          </w:p>
        </w:tc>
      </w:tr>
      <w:tr w:rsidR="00323615" w:rsidTr="009009EE">
        <w:tc>
          <w:tcPr>
            <w:tcW w:w="1729" w:type="dxa"/>
          </w:tcPr>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неприйняття ВПО місцевими жителями</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психологічна підтримка</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дозвілля</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 рівень зайнятості, що спонукає до відтоку ВПО</w:t>
            </w:r>
          </w:p>
        </w:tc>
        <w:tc>
          <w:tcPr>
            <w:tcW w:w="1822"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населення</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психологів</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облік в Центрі зайнятості</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до суспільної роботи</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культурному дозвіллі</w:t>
            </w:r>
          </w:p>
        </w:tc>
        <w:tc>
          <w:tcPr>
            <w:tcW w:w="1957"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сприйняття ВПО соціумом</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покращення ментального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xml:space="preserve"> ВПО</w:t>
            </w:r>
          </w:p>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p>
        </w:tc>
        <w:tc>
          <w:tcPr>
            <w:tcW w:w="1970"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кількості робочих місць</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донесення інформації до населення</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культурно-масових заходів</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спортивних змагань</w:t>
            </w:r>
          </w:p>
        </w:tc>
        <w:tc>
          <w:tcPr>
            <w:tcW w:w="2009"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бізнес</w:t>
            </w:r>
          </w:p>
        </w:tc>
      </w:tr>
    </w:tbl>
    <w:p w:rsidR="00323615" w:rsidRDefault="00323615" w:rsidP="00323615">
      <w:pPr>
        <w:ind w:firstLine="709"/>
        <w:jc w:val="both"/>
        <w:rPr>
          <w:rFonts w:ascii="Times New Roman" w:eastAsia="Times New Roman" w:hAnsi="Times New Roman" w:cs="Times New Roman"/>
          <w:sz w:val="24"/>
          <w:szCs w:val="24"/>
        </w:rPr>
      </w:pPr>
    </w:p>
    <w:p w:rsidR="00323615" w:rsidRDefault="00323615" w:rsidP="0032361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Ця таблиця відображає стан вирішення питань, які стосуються ВПО у </w:t>
      </w:r>
      <w:proofErr w:type="spellStart"/>
      <w:r>
        <w:rPr>
          <w:rFonts w:ascii="Times New Roman" w:eastAsia="Times New Roman" w:hAnsi="Times New Roman" w:cs="Times New Roman"/>
          <w:sz w:val="24"/>
          <w:szCs w:val="24"/>
        </w:rPr>
        <w:t>Новоодеській</w:t>
      </w:r>
      <w:proofErr w:type="spellEnd"/>
      <w:r>
        <w:rPr>
          <w:rFonts w:ascii="Times New Roman" w:eastAsia="Times New Roman" w:hAnsi="Times New Roman" w:cs="Times New Roman"/>
          <w:sz w:val="24"/>
          <w:szCs w:val="24"/>
        </w:rPr>
        <w:t xml:space="preserve"> міській територіальній громаді. Оскільки кількість ВПО у громаді змінюється, органи місцевого самоврядування встановлюють їхню реальну кількість: цей показник дасть можливість оцінити масштабність проблем, потреб та необхідних для їх вирішення ресурсів.</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widowControl/>
        <w:shd w:val="clear" w:color="auto" w:fill="B8CCE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ВИЗНАЧЕННЯ РОЛІ РАДИ З ПИТАНЬ ВПО У ВИРІШЕННІ ЗАЗНАЧЕНИХ ПРОБЛЕМНИХ ПИТАНЬ</w:t>
      </w:r>
    </w:p>
    <w:p w:rsidR="00C0012A" w:rsidRDefault="00C0012A" w:rsidP="00C0012A"/>
    <w:tbl>
      <w:tblPr>
        <w:tblpPr w:leftFromText="180" w:rightFromText="180" w:vertAnchor="text"/>
        <w:tblW w:w="9495"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2595"/>
        <w:gridCol w:w="6900"/>
      </w:tblGrid>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Проблемне питання</w:t>
            </w:r>
          </w:p>
        </w:tc>
        <w:tc>
          <w:tcPr>
            <w:tcW w:w="6900"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ради у вирішенні проблем</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можливостей для забезпечення належною матеріально-технічною базою;</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донорів, які зможуть задовольнити потреби у  забезпеченні належної матеріально-технічної бази;</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анкети для виявлення освітніх потреб ВПО;</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 створенні умов для залучення молодих фахівців (</w:t>
            </w:r>
            <w:proofErr w:type="spellStart"/>
            <w:r>
              <w:rPr>
                <w:rFonts w:ascii="Times New Roman" w:eastAsia="Times New Roman" w:hAnsi="Times New Roman" w:cs="Times New Roman"/>
                <w:sz w:val="24"/>
                <w:szCs w:val="24"/>
              </w:rPr>
              <w:t>вихователей</w:t>
            </w:r>
            <w:proofErr w:type="spellEnd"/>
            <w:r>
              <w:rPr>
                <w:rFonts w:ascii="Times New Roman" w:eastAsia="Times New Roman" w:hAnsi="Times New Roman" w:cs="Times New Roman"/>
                <w:sz w:val="24"/>
                <w:szCs w:val="24"/>
              </w:rPr>
              <w:t>, викладачів, вчителів);</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ініціювання розширення програми перекваліфікації;</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інформаційно-просвітницької роботи щодо необхідності та важливості здобуття освіти</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Зайнятість</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ринку праці;</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налагодження співпраці з Центром зайнятості, роботодавцями у виявленні потреби робочих місць у громаді;</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про грантові можливості та ваучери для започаткування власного бізнесу;</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пропозицій щодо врахування потреб ВПО та можливостей в громаді</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Фінансова допомога</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проведення аналізу потреб ВПО, особливо вразливих категорій;</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супровід при отриманні фінансової допомоги від донорів, подання звітності та здійснення контролю за використанням;</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неурядових організацій до надання фінансової допомоги ВПО;</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Управлінням праці і соціального захисту населення щодо отримання інформації для ВПО</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житлового фонду;</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потреби в розміщенні;</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вивчення статистичних даних по </w:t>
            </w:r>
            <w:proofErr w:type="spellStart"/>
            <w:r>
              <w:rPr>
                <w:rFonts w:ascii="Times New Roman" w:eastAsia="Times New Roman" w:hAnsi="Times New Roman" w:cs="Times New Roman"/>
                <w:sz w:val="24"/>
                <w:szCs w:val="24"/>
              </w:rPr>
              <w:t>підселенню</w:t>
            </w:r>
            <w:proofErr w:type="spellEnd"/>
            <w:r>
              <w:rPr>
                <w:rFonts w:ascii="Times New Roman" w:eastAsia="Times New Roman" w:hAnsi="Times New Roman" w:cs="Times New Roman"/>
                <w:sz w:val="24"/>
                <w:szCs w:val="24"/>
              </w:rPr>
              <w:t>;</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наповнення реєстру житла актуальною інформацією;</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донорів (інвесторів);</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звернення до ОМС, держави щодо збільшення компенсації власникам житла;</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звернення  </w:t>
            </w:r>
            <w:proofErr w:type="spellStart"/>
            <w:r>
              <w:rPr>
                <w:rFonts w:ascii="Times New Roman" w:eastAsia="Times New Roman" w:hAnsi="Times New Roman" w:cs="Times New Roman"/>
                <w:sz w:val="24"/>
                <w:szCs w:val="24"/>
              </w:rPr>
              <w:t>звернення</w:t>
            </w:r>
            <w:proofErr w:type="spellEnd"/>
            <w:r>
              <w:rPr>
                <w:rFonts w:ascii="Times New Roman" w:eastAsia="Times New Roman" w:hAnsi="Times New Roman" w:cs="Times New Roman"/>
                <w:sz w:val="24"/>
                <w:szCs w:val="24"/>
              </w:rPr>
              <w:t xml:space="preserve"> до ОМС щодо впровадження пільг;</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щодо наявності житла, місцеву владу - про потреби ВПО;</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налагодження співпраці з надавачами безоплатної правничої допомоги;</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інвентаризації;</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створення Фонду тимчасового житла</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адаптація</w:t>
            </w:r>
          </w:p>
        </w:tc>
        <w:tc>
          <w:tcPr>
            <w:tcW w:w="6900" w:type="dxa"/>
          </w:tcPr>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потреб ВПО у соціалізації;</w:t>
            </w:r>
          </w:p>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проблемних питань на етапах адаптації та інтеграції;</w:t>
            </w:r>
          </w:p>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інформаційно-просвітницької роботи з місцевим населенням щодо необхідності толерантного, терпимого ставлення до ВПО;</w:t>
            </w:r>
          </w:p>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співпраця з управліннями охорони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культури, спорту освіти з метою забезпечення потреб ВПО у соціалізації</w:t>
            </w:r>
          </w:p>
        </w:tc>
      </w:tr>
    </w:tbl>
    <w:p w:rsidR="00C0012A" w:rsidRDefault="00C0012A" w:rsidP="00323615">
      <w:pPr>
        <w:ind w:firstLine="709"/>
        <w:jc w:val="both"/>
        <w:rPr>
          <w:rFonts w:ascii="Times New Roman" w:eastAsia="Times New Roman" w:hAnsi="Times New Roman" w:cs="Times New Roman"/>
          <w:sz w:val="24"/>
          <w:szCs w:val="24"/>
        </w:rPr>
      </w:pP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widowControl/>
        <w:ind w:firstLine="709"/>
        <w:jc w:val="both"/>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shd w:val="clear" w:color="auto" w:fill="A4C2F4"/>
        </w:rPr>
        <w:t>Короткі висновки</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Рада з питань ВПО може бути ефективним майданчиком для спілкування та обміну досвідом, платформою для домовленостей щодо спірних та болючих для ВПО тем, джерелом дієвої та корисної інформації від органів влади та міжнародних і національних донорських організацій, котру можна і варто поширювати далі серед ВПО. Пряма комунікація всіх зацікавлених у вирішенні проблем та викликів, з якими стикаються ВПО ведеться на засадах емпатії, вміння слухати і чути одне одного, робити висновки та аналізувати отримані дані.</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Рада з питань ВПО має на меті підвищувати ефективність і результативність своєї роботи через ґрунтовну і комплексну роботу з інформацією, що може бути корисною для ВПО. За цих умов слід звернути увагу не тільки й не стільки на створення нових каналів комунікації, скільки на підсилення чинних, а також на потребо-орієнтовані підходи надання допомоги ВПО, котрі звертаються до певних організацій та установ — не тільки на рівні територіальної громади, але й на загальнодержавному рівні.</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рівні прийняття рішень Рада з питань ВПО бачить у майбутньому результатом своєї роботи задоволені потреби дітей та дорослих з числа ВПО — зокрема у забезпеченні житлом, працевлаштуванні, відновленні документів, отриманні соціальних виплат, освітніх послуг тощо.</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Головний принцип, на якому будувалась описана стратегія, — не вирішувати жодного питання, що стосується ВПО, без ВПО. Реалізація практичного бачення допомагає вибудувати шляхи адаптації та підтримки й спрямувати ВПО на перехід від об’єктності до суб’єктності й повноцінного, рівноцінного входження у громаду.</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Комплексний та інтегрований підхід державної політики щодо створення системи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інклюзії включає в себе процес усунення «ментальних та психологічних бар'єрів» в усіх сферах життєдіяльності людини та збільшення ступеня участі всіх громадян у соціумі. </w:t>
      </w:r>
      <w:proofErr w:type="spellStart"/>
      <w:r>
        <w:rPr>
          <w:rFonts w:ascii="Times New Roman" w:eastAsia="Times New Roman" w:hAnsi="Times New Roman" w:cs="Times New Roman"/>
          <w:sz w:val="24"/>
          <w:szCs w:val="24"/>
        </w:rPr>
        <w:t>Залученість</w:t>
      </w:r>
      <w:proofErr w:type="spellEnd"/>
      <w:r>
        <w:rPr>
          <w:rFonts w:ascii="Times New Roman" w:eastAsia="Times New Roman" w:hAnsi="Times New Roman" w:cs="Times New Roman"/>
          <w:sz w:val="24"/>
          <w:szCs w:val="24"/>
        </w:rPr>
        <w:t xml:space="preserve"> ВПО до прийняття рішень,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середовища в приймаючій громаді, прийняття рішень з дотриманням принципу інклюзії - завдання, яке ставить перед собою Рада з питань ВПО.</w:t>
      </w:r>
    </w:p>
    <w:p w:rsidR="00C0012A" w:rsidRDefault="00C0012A" w:rsidP="00C0012A">
      <w:pPr>
        <w:widowControl/>
        <w:ind w:firstLine="709"/>
        <w:jc w:val="both"/>
        <w:rPr>
          <w:rFonts w:ascii="Times New Roman" w:eastAsia="Times New Roman" w:hAnsi="Times New Roman" w:cs="Times New Roman"/>
          <w:sz w:val="24"/>
          <w:szCs w:val="24"/>
        </w:rPr>
      </w:pPr>
    </w:p>
    <w:p w:rsidR="00C0012A" w:rsidRDefault="00C0012A" w:rsidP="00C0012A">
      <w:pPr>
        <w:widowControl/>
        <w:shd w:val="clear" w:color="auto" w:fill="B8CCE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ЦІЛЬОВИХ ГРУП ДІЯЛЬНОСТІ РАДИ З ПИТАНЬ ВПО</w:t>
      </w:r>
    </w:p>
    <w:p w:rsidR="00C0012A" w:rsidRDefault="00C0012A" w:rsidP="00C0012A">
      <w:pPr>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Цільові групи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ради було визначено в ході відкритої вправи. Після обговорення ними стали: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дошкільного віку:</w:t>
      </w:r>
    </w:p>
    <w:p w:rsidR="00C0012A" w:rsidRDefault="00C0012A" w:rsidP="00C0012A">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 роки</w:t>
      </w:r>
    </w:p>
    <w:p w:rsidR="00C0012A" w:rsidRDefault="00C0012A" w:rsidP="00C0012A">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шкільного віку:</w:t>
      </w:r>
    </w:p>
    <w:p w:rsidR="00C0012A" w:rsidRDefault="00C0012A" w:rsidP="00C0012A">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років</w:t>
      </w:r>
    </w:p>
    <w:p w:rsidR="00C0012A" w:rsidRDefault="00C0012A" w:rsidP="00C0012A">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років</w:t>
      </w:r>
    </w:p>
    <w:p w:rsidR="00C0012A" w:rsidRDefault="00C0012A" w:rsidP="00C0012A">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14-18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Працездатні особи:</w:t>
      </w:r>
    </w:p>
    <w:p w:rsidR="00C0012A" w:rsidRDefault="00C0012A" w:rsidP="00C0012A">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18-24 роки</w:t>
      </w:r>
    </w:p>
    <w:p w:rsidR="00C0012A" w:rsidRDefault="00C0012A" w:rsidP="00C0012A">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25-45 років</w:t>
      </w:r>
    </w:p>
    <w:p w:rsidR="00C0012A" w:rsidRDefault="00C0012A" w:rsidP="00C0012A">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46-60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Пенсіонери;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 з інвалідністю:</w:t>
      </w:r>
    </w:p>
    <w:p w:rsidR="00C0012A" w:rsidRDefault="00C0012A" w:rsidP="00C0012A">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w:t>
      </w:r>
    </w:p>
    <w:p w:rsidR="00C0012A" w:rsidRDefault="00C0012A" w:rsidP="00C0012A">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18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Чоловіки та жінки;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 які переїхали з сім’єю та матері з дітьми;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Багатодітні </w:t>
      </w:r>
      <w:proofErr w:type="spellStart"/>
      <w:r>
        <w:rPr>
          <w:rFonts w:ascii="Times New Roman" w:eastAsia="Times New Roman" w:hAnsi="Times New Roman" w:cs="Times New Roman"/>
          <w:sz w:val="24"/>
          <w:szCs w:val="24"/>
        </w:rPr>
        <w:t>сімʼї</w:t>
      </w:r>
      <w:proofErr w:type="spellEnd"/>
      <w:r>
        <w:rPr>
          <w:rFonts w:ascii="Times New Roman" w:eastAsia="Times New Roman" w:hAnsi="Times New Roman" w:cs="Times New Roman"/>
          <w:sz w:val="24"/>
          <w:szCs w:val="24"/>
        </w:rPr>
        <w:t>.</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shd w:val="clear" w:color="auto" w:fill="B8CCE4"/>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мішеней, союзників та противників під час вирішення проблемних питань ВПО</w:t>
      </w:r>
    </w:p>
    <w:p w:rsidR="00C0012A" w:rsidRDefault="00C0012A" w:rsidP="00C0012A">
      <w:pPr>
        <w:jc w:val="center"/>
        <w:rPr>
          <w:rFonts w:ascii="Times New Roman" w:eastAsia="Times New Roman" w:hAnsi="Times New Roman" w:cs="Times New Roman"/>
          <w:b/>
          <w:sz w:val="24"/>
          <w:szCs w:val="24"/>
          <w:highlight w:val="white"/>
        </w:rPr>
      </w:pP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Рада з питань ВПО ставить собі за мету впродовж своєї каденції у 2024–2025 роках систематизувати інформацію про інституції та ОГС, діяльність яких впливає на ефективність вирішення проблем ВПО в м. Нова Одеса, та налагодити співпрацю з дієвими та активними організаціями на рівні громади. З метою розуміння хто може створювати перепони у реалізації поставлених цілей учасники </w:t>
      </w:r>
      <w:proofErr w:type="spellStart"/>
      <w:r>
        <w:rPr>
          <w:rFonts w:ascii="Times New Roman" w:eastAsia="Times New Roman" w:hAnsi="Times New Roman" w:cs="Times New Roman"/>
          <w:sz w:val="24"/>
          <w:szCs w:val="24"/>
        </w:rPr>
        <w:t>стратсесії</w:t>
      </w:r>
      <w:proofErr w:type="spellEnd"/>
      <w:r>
        <w:rPr>
          <w:rFonts w:ascii="Times New Roman" w:eastAsia="Times New Roman" w:hAnsi="Times New Roman" w:cs="Times New Roman"/>
          <w:sz w:val="24"/>
          <w:szCs w:val="24"/>
        </w:rPr>
        <w:t xml:space="preserve"> також проаналізували і можливих противників у кожному напрямку роботи.</w:t>
      </w:r>
    </w:p>
    <w:p w:rsidR="00C0012A" w:rsidRDefault="00C0012A" w:rsidP="00C0012A">
      <w:pPr>
        <w:ind w:firstLine="709"/>
        <w:jc w:val="both"/>
        <w:rPr>
          <w:rFonts w:ascii="Times New Roman" w:eastAsia="Times New Roman" w:hAnsi="Times New Roman" w:cs="Times New Roman"/>
          <w:sz w:val="24"/>
          <w:szCs w:val="24"/>
        </w:rPr>
      </w:pPr>
    </w:p>
    <w:tbl>
      <w:tblPr>
        <w:tblW w:w="9487"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162"/>
        <w:gridCol w:w="3162"/>
        <w:gridCol w:w="3163"/>
      </w:tblGrid>
      <w:tr w:rsidR="00C0012A" w:rsidTr="00373D49">
        <w:tc>
          <w:tcPr>
            <w:tcW w:w="3162" w:type="dxa"/>
          </w:tcPr>
          <w:p w:rsidR="00C0012A" w:rsidRDefault="00C0012A" w:rsidP="00373D4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Союзники</w:t>
            </w:r>
          </w:p>
        </w:tc>
        <w:tc>
          <w:tcPr>
            <w:tcW w:w="3162" w:type="dxa"/>
          </w:tcPr>
          <w:p w:rsidR="00C0012A" w:rsidRDefault="00C0012A" w:rsidP="00373D4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Мішені</w:t>
            </w:r>
          </w:p>
        </w:tc>
        <w:tc>
          <w:tcPr>
            <w:tcW w:w="3163" w:type="dxa"/>
          </w:tcPr>
          <w:p w:rsidR="00C0012A" w:rsidRDefault="00C0012A" w:rsidP="00C0012A">
            <w:pPr>
              <w:numPr>
                <w:ilvl w:val="0"/>
                <w:numId w:val="2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Противники</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w:t>
            </w:r>
          </w:p>
        </w:tc>
      </w:tr>
      <w:tr w:rsidR="00C0012A" w:rsidTr="00373D49">
        <w:tc>
          <w:tcPr>
            <w:tcW w:w="3162" w:type="dxa"/>
          </w:tcPr>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Міністерство освіти, управління освіти</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освіти</w:t>
            </w:r>
          </w:p>
        </w:tc>
        <w:tc>
          <w:tcPr>
            <w:tcW w:w="3162" w:type="dxa"/>
          </w:tcPr>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освіти;</w:t>
            </w:r>
          </w:p>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 та діти ВПО;</w:t>
            </w:r>
          </w:p>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c>
          <w:tcPr>
            <w:tcW w:w="3163" w:type="dxa"/>
          </w:tcPr>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школи за місцем реєстрації</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заклади освіти </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мешканці ТГ</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Зайнятість</w:t>
            </w:r>
          </w:p>
        </w:tc>
      </w:tr>
      <w:tr w:rsidR="00C0012A" w:rsidTr="00373D49">
        <w:tc>
          <w:tcPr>
            <w:tcW w:w="3162" w:type="dxa"/>
          </w:tcPr>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безробітні</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зайнятості населення;</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роботодавці;</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tc>
        <w:tc>
          <w:tcPr>
            <w:tcW w:w="3162" w:type="dxa"/>
          </w:tcPr>
          <w:p w:rsidR="00C0012A" w:rsidRDefault="00C0012A" w:rsidP="00C0012A">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зайнятості населення;</w:t>
            </w:r>
          </w:p>
          <w:p w:rsidR="00C0012A" w:rsidRDefault="00C0012A" w:rsidP="00C0012A">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роботодавці</w:t>
            </w:r>
          </w:p>
        </w:tc>
        <w:tc>
          <w:tcPr>
            <w:tcW w:w="3163" w:type="dxa"/>
          </w:tcPr>
          <w:p w:rsidR="00C0012A" w:rsidRDefault="00C0012A" w:rsidP="00C0012A">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роботодавці;</w:t>
            </w:r>
          </w:p>
          <w:p w:rsidR="00C0012A" w:rsidRDefault="00C0012A" w:rsidP="00C0012A">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мешканці ТГ</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Фінансова допомога</w:t>
            </w:r>
          </w:p>
        </w:tc>
      </w:tr>
      <w:tr w:rsidR="00C0012A" w:rsidTr="00373D49">
        <w:tc>
          <w:tcPr>
            <w:tcW w:w="3162" w:type="dxa"/>
          </w:tcPr>
          <w:p w:rsidR="00C0012A" w:rsidRDefault="00C0012A" w:rsidP="00C0012A">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платники податків</w:t>
            </w:r>
          </w:p>
          <w:p w:rsidR="00C0012A" w:rsidRDefault="00C0012A" w:rsidP="00C0012A">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банки</w:t>
            </w:r>
          </w:p>
          <w:p w:rsidR="00C0012A" w:rsidRDefault="00C0012A" w:rsidP="00C0012A">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c>
          <w:tcPr>
            <w:tcW w:w="3162" w:type="dxa"/>
          </w:tcPr>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КМУ;</w:t>
            </w:r>
          </w:p>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бізнес;</w:t>
            </w:r>
          </w:p>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tc>
        <w:tc>
          <w:tcPr>
            <w:tcW w:w="3163" w:type="dxa"/>
          </w:tcPr>
          <w:p w:rsidR="00C0012A" w:rsidRDefault="00C0012A" w:rsidP="00C0012A">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приймаюча громада;</w:t>
            </w:r>
          </w:p>
          <w:p w:rsidR="00C0012A" w:rsidRDefault="00C0012A" w:rsidP="00C0012A">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p w:rsidR="00C0012A" w:rsidRDefault="00C0012A" w:rsidP="00C0012A">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КМУ</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w:t>
            </w:r>
          </w:p>
        </w:tc>
      </w:tr>
      <w:tr w:rsidR="00C0012A" w:rsidTr="00373D49">
        <w:tc>
          <w:tcPr>
            <w:tcW w:w="3162" w:type="dxa"/>
          </w:tcPr>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місцевої влади;</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підрядні організації;</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банки</w:t>
            </w:r>
          </w:p>
        </w:tc>
        <w:tc>
          <w:tcPr>
            <w:tcW w:w="3162" w:type="dxa"/>
          </w:tcPr>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держава в особі КМУ, ВРУ</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c>
          <w:tcPr>
            <w:tcW w:w="3163" w:type="dxa"/>
          </w:tcPr>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жителі;</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ВРУ, КМУ;</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адаптація</w:t>
            </w:r>
          </w:p>
        </w:tc>
      </w:tr>
      <w:tr w:rsidR="00C0012A" w:rsidTr="00373D49">
        <w:tc>
          <w:tcPr>
            <w:tcW w:w="3162" w:type="dxa"/>
          </w:tcPr>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мешканці</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влади</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культури</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tc>
        <w:tc>
          <w:tcPr>
            <w:tcW w:w="3162" w:type="dxa"/>
          </w:tcPr>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xml:space="preserve"> </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культури</w:t>
            </w:r>
          </w:p>
        </w:tc>
        <w:tc>
          <w:tcPr>
            <w:tcW w:w="3163" w:type="dxa"/>
          </w:tcPr>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місцеве населення; </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культури</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tc>
      </w:tr>
    </w:tbl>
    <w:p w:rsidR="00C0012A" w:rsidRDefault="00C0012A" w:rsidP="00C0012A">
      <w:pPr>
        <w:jc w:val="both"/>
        <w:rPr>
          <w:rFonts w:ascii="Times New Roman" w:eastAsia="Times New Roman" w:hAnsi="Times New Roman" w:cs="Times New Roman"/>
          <w:sz w:val="24"/>
          <w:szCs w:val="24"/>
          <w:highlight w:val="white"/>
        </w:rPr>
      </w:pPr>
    </w:p>
    <w:p w:rsidR="00C0012A" w:rsidRDefault="00C0012A" w:rsidP="00C0012A">
      <w:pPr>
        <w:shd w:val="clear" w:color="auto" w:fill="DBE5F1"/>
        <w:ind w:firstLine="709"/>
        <w:jc w:val="center"/>
      </w:pPr>
      <w:r>
        <w:rPr>
          <w:rFonts w:ascii="Times New Roman" w:eastAsia="Times New Roman" w:hAnsi="Times New Roman" w:cs="Times New Roman"/>
          <w:b/>
          <w:sz w:val="24"/>
          <w:szCs w:val="24"/>
          <w:shd w:val="clear" w:color="auto" w:fill="DBE5F1"/>
        </w:rPr>
        <w:t>ВИЗНАЧЕННЯ СТРАТЕГІЧНИХ ЦІЛЕЙ</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Під час проведення стратегічної сесії було обговорено низку можливих напрямів діяльності й форм реалізації та взаємодії, а також застосовано поняття «індикатори ефективності». </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дискусій та практичної командної роботи було визначено 5 основних напрямків діяльності, які може реалізувати рада з питань ВПО: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житло, фінансова допомога, зайнятість, освіта та соціальна адаптація. </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2024–2025 рр. визначено 5 стратегічних цілей та конкретизовані заходи, для їх досягнення:</w:t>
      </w:r>
    </w:p>
    <w:p w:rsidR="00C0012A" w:rsidRDefault="00C0012A" w:rsidP="00C0012A">
      <w:pPr>
        <w:ind w:firstLine="709"/>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1</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Сприяння в реалізації ВПО права на освіту</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інтеграції дітей ВПО в навчальні заклади ТГ;</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можливостей для формування кадрового забезпечення навчальних закладів з сімей ВПО (вихователі, викладачі, вчителі);</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психологічна підтримка ВПО в закладах освіти</w:t>
      </w:r>
    </w:p>
    <w:p w:rsidR="00C0012A" w:rsidRDefault="00C0012A" w:rsidP="00C0012A">
      <w:pPr>
        <w:ind w:left="720"/>
        <w:jc w:val="both"/>
        <w:rPr>
          <w:rFonts w:ascii="Times New Roman" w:eastAsia="Times New Roman" w:hAnsi="Times New Roman" w:cs="Times New Roman"/>
          <w:b/>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2</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Створення належних умов для працевлаштування/зайнятості ВПО</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ринку праці;</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про державні гранти;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належних умов для відкриття власної справи;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розвитку бізнесу для створення нових робочих місць.</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3</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Залучення донорів для надання необхідної фінансової допомоги ВПО</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потреб у фінансуванні;</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конкретних напрямків фінансування та розміру;</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донорів для фінансової допомоги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Управлінням праці і соціального захисту населення щодо отримання інформації.</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4</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 xml:space="preserve">Сприяння у забезпеченні  ВПО житлом </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та наповненню реєстру житла;</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потреб ВПО та можливостей громади;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донорів та інвесторів для побудови соціального житла;</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щодо наявності житла та місцеву владу щодо потреб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надавачами безоплатної правової допомоги;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інвентаризації;</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створення Фонду тимчасового житла</w:t>
      </w:r>
    </w:p>
    <w:p w:rsidR="00C0012A" w:rsidRDefault="00C0012A" w:rsidP="00C0012A">
      <w:pPr>
        <w:ind w:left="720"/>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5</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Сприяння в адаптації та інтеграції  ВПО в громаді</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потреб ВПО на етапах адаптації та інтеграції;</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психологічної та реабілітаційної допомоги для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умов для розселення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гуртків за інтересами;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заохочення проведення заходів за участі ВПО та місцевого населення з метою подолання напруги; </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налагодження співпраці з управліннями охорони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культури, спорту освіти з метою забезпечення потреб ВПО у соціалізації</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jc w:val="both"/>
        <w:rPr>
          <w:rFonts w:ascii="Times New Roman" w:eastAsia="Times New Roman" w:hAnsi="Times New Roman" w:cs="Times New Roman"/>
          <w:sz w:val="24"/>
          <w:szCs w:val="24"/>
        </w:rPr>
      </w:pPr>
    </w:p>
    <w:tbl>
      <w:tblPr>
        <w:tblW w:w="9488"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251"/>
        <w:gridCol w:w="2976"/>
        <w:gridCol w:w="3261"/>
      </w:tblGrid>
      <w:tr w:rsidR="00C0012A" w:rsidTr="00373D49">
        <w:tc>
          <w:tcPr>
            <w:tcW w:w="3251" w:type="dxa"/>
          </w:tcPr>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Ціль на 2024-2025 рр.</w:t>
            </w:r>
          </w:p>
        </w:tc>
        <w:tc>
          <w:tcPr>
            <w:tcW w:w="2976" w:type="dxa"/>
          </w:tcPr>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Індикатори досягнення успіху</w:t>
            </w:r>
          </w:p>
        </w:tc>
        <w:tc>
          <w:tcPr>
            <w:tcW w:w="3261" w:type="dxa"/>
          </w:tcPr>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Ризики</w:t>
            </w:r>
          </w:p>
        </w:tc>
      </w:tr>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 реалізації ВПО права на освіту</w:t>
            </w:r>
          </w:p>
        </w:tc>
        <w:tc>
          <w:tcPr>
            <w:tcW w:w="2976" w:type="dxa"/>
          </w:tcPr>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дітей-ВПО, які здобувають освіту в громаді;</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дорослих осіб, які здобувають освіту в громаді;</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адекватне співвідношення кількості педагогічного складу та кількості учнів</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забезпеченість всіх учнів підручниками</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залучених донорів;</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залучених коштів від інвесторів;</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проаналізовано запити та пропозиції в  перекваліфікації</w:t>
            </w:r>
          </w:p>
        </w:tc>
        <w:tc>
          <w:tcPr>
            <w:tcW w:w="3261" w:type="dxa"/>
          </w:tcPr>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матеріально-технічного забезпечення процесу навчання;</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відсутність повної інформації про кількість дітей-ВПО; </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переповненість закладів освіти;</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завантаженість педагогічного складу;</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навантаження на бюджет громади;</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порушення черги влаштування в ДНЗ;</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небажання здобувати освіту </w:t>
            </w:r>
          </w:p>
        </w:tc>
      </w:tr>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4"/>
                <w:szCs w:val="24"/>
              </w:rPr>
              <w:t>Створення належних умов для працевлаштування/зайнятості ВПО</w:t>
            </w:r>
          </w:p>
        </w:tc>
        <w:tc>
          <w:tcPr>
            <w:tcW w:w="2976" w:type="dxa"/>
          </w:tcPr>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робочих місць;</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вакантних місць;</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дефіцитних професій в громаді;</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ВПО, які перебувають на обліку </w:t>
            </w:r>
            <w:proofErr w:type="spellStart"/>
            <w:r>
              <w:rPr>
                <w:rFonts w:ascii="Times New Roman" w:eastAsia="Times New Roman" w:hAnsi="Times New Roman" w:cs="Times New Roman"/>
                <w:sz w:val="24"/>
                <w:szCs w:val="24"/>
              </w:rPr>
              <w:t>безробітніх</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у Центрі зайнятості населення;</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наданих/отриманих ваучерів</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відновлені документи про освіту </w:t>
            </w:r>
          </w:p>
        </w:tc>
        <w:tc>
          <w:tcPr>
            <w:tcW w:w="3261" w:type="dxa"/>
          </w:tcPr>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відʼїзд</w:t>
            </w:r>
            <w:proofErr w:type="spellEnd"/>
            <w:r>
              <w:rPr>
                <w:rFonts w:ascii="Times New Roman" w:eastAsia="Times New Roman" w:hAnsi="Times New Roman" w:cs="Times New Roman"/>
                <w:sz w:val="24"/>
                <w:szCs w:val="24"/>
              </w:rPr>
              <w:t xml:space="preserve"> ВПО;</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вакантних робочих місць;</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фінансування;</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належних умов праці;</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ВПО;</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донорів для грантів та ваучерів;</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відсутність взаємодії між Центром зайнятості населення, роботодавцями та місцевою владою</w:t>
            </w:r>
          </w:p>
        </w:tc>
      </w:tr>
    </w:tbl>
    <w:p w:rsidR="00C0012A" w:rsidRDefault="00C0012A" w:rsidP="00323615">
      <w:pPr>
        <w:ind w:firstLine="709"/>
        <w:jc w:val="both"/>
        <w:rPr>
          <w:rFonts w:ascii="Times New Roman" w:eastAsia="Times New Roman" w:hAnsi="Times New Roman" w:cs="Times New Roman"/>
          <w:sz w:val="24"/>
          <w:szCs w:val="24"/>
        </w:rPr>
      </w:pPr>
    </w:p>
    <w:tbl>
      <w:tblPr>
        <w:tblW w:w="9488"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251"/>
        <w:gridCol w:w="2976"/>
        <w:gridCol w:w="3261"/>
      </w:tblGrid>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Залучення донорів для надання необхідної фінансової допомоги ВПО</w:t>
            </w:r>
          </w:p>
        </w:tc>
        <w:tc>
          <w:tcPr>
            <w:tcW w:w="2976" w:type="dxa"/>
          </w:tcPr>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вивчені потреби у фінансуванні</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матеріального забезпечення населення</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звернулися до Управління праці і соціального захисту щодо виплат;</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отриманої на запити інформації;</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неурядових організацій, що надають фінансову підтримку ВПО</w:t>
            </w:r>
          </w:p>
        </w:tc>
        <w:tc>
          <w:tcPr>
            <w:tcW w:w="3261" w:type="dxa"/>
          </w:tcPr>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ненадання актуальної інформації;</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ВПО;</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неурядових організацій, готових до співпраці;</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співпраці/взаємодії Управління праці і соціального захисту щодо виплат;</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зростання цін, тарифів;</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низька заробітна плата</w:t>
            </w:r>
          </w:p>
        </w:tc>
      </w:tr>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Сприяння у забезпеченні ВПО житлом</w:t>
            </w:r>
          </w:p>
        </w:tc>
        <w:tc>
          <w:tcPr>
            <w:tcW w:w="2976" w:type="dxa"/>
          </w:tcPr>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забезпечених житлом ВПО;</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сімей, які потребують житла;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наявна кількість житла;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донорів;</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житлова площа;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звернень ВПО до правничої допомоги;</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придатного для проживання житла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проведена інвентаризація;</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отримали компенсацію за зруйноване майно</w:t>
            </w:r>
          </w:p>
        </w:tc>
        <w:tc>
          <w:tcPr>
            <w:tcW w:w="3261" w:type="dxa"/>
          </w:tcPr>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житло непридатне до проживання</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недостатня кількість житла </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непривабливість для інвесторів/відсутність донорів</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документів</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ненадання актуальної інформації</w:t>
            </w:r>
          </w:p>
        </w:tc>
      </w:tr>
    </w:tbl>
    <w:p w:rsidR="00C0012A" w:rsidRDefault="00C0012A" w:rsidP="00323615">
      <w:pPr>
        <w:ind w:firstLine="709"/>
        <w:jc w:val="both"/>
        <w:rPr>
          <w:rFonts w:ascii="Times New Roman" w:eastAsia="Times New Roman" w:hAnsi="Times New Roman" w:cs="Times New Roman"/>
          <w:sz w:val="24"/>
          <w:szCs w:val="24"/>
        </w:rPr>
      </w:pPr>
    </w:p>
    <w:tbl>
      <w:tblPr>
        <w:tblW w:w="9488"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251"/>
        <w:gridCol w:w="2976"/>
        <w:gridCol w:w="3261"/>
      </w:tblGrid>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 адаптації та інтеграції ВПО в громаді</w:t>
            </w:r>
          </w:p>
        </w:tc>
        <w:tc>
          <w:tcPr>
            <w:tcW w:w="2976" w:type="dxa"/>
          </w:tcPr>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інтегруються в громаду</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звернень за отриманням психологічної допомоги</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відвідують гуртки за інтересами</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заходів, які проходять за участю ВПО</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звернень ВПО до Ради ВПО</w:t>
            </w:r>
          </w:p>
        </w:tc>
        <w:tc>
          <w:tcPr>
            <w:tcW w:w="3261" w:type="dxa"/>
          </w:tcPr>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недостатність житлового фонду</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фахівців</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ВПО</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кадрового забезпечення</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міграція ВПО</w:t>
            </w:r>
          </w:p>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p>
        </w:tc>
      </w:tr>
    </w:tbl>
    <w:p w:rsidR="00C0012A" w:rsidRDefault="00C0012A" w:rsidP="00C0012A">
      <w:pPr>
        <w:jc w:val="center"/>
        <w:rPr>
          <w:rFonts w:ascii="Times New Roman" w:eastAsia="Times New Roman" w:hAnsi="Times New Roman" w:cs="Times New Roman"/>
          <w:b/>
          <w:sz w:val="24"/>
          <w:szCs w:val="24"/>
        </w:rPr>
      </w:pPr>
    </w:p>
    <w:p w:rsidR="00C0012A" w:rsidRDefault="00C0012A" w:rsidP="00C0012A">
      <w:pPr>
        <w:shd w:val="clear" w:color="auto" w:fill="B4C6E7"/>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Висновки:</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Рада з питань ВПО може стати дієвим інструментом, якому довіряють міжнародні та національні </w:t>
      </w:r>
      <w:proofErr w:type="spellStart"/>
      <w:r>
        <w:rPr>
          <w:rFonts w:ascii="Times New Roman" w:eastAsia="Times New Roman" w:hAnsi="Times New Roman" w:cs="Times New Roman"/>
          <w:sz w:val="24"/>
          <w:szCs w:val="24"/>
        </w:rPr>
        <w:t>стейкхолдери</w:t>
      </w:r>
      <w:proofErr w:type="spellEnd"/>
      <w:r>
        <w:rPr>
          <w:rFonts w:ascii="Times New Roman" w:eastAsia="Times New Roman" w:hAnsi="Times New Roman" w:cs="Times New Roman"/>
          <w:sz w:val="24"/>
          <w:szCs w:val="24"/>
        </w:rPr>
        <w:t>, тому справжня дієвість Ради відкриває додаткові можливості та доступ до ресурсів.</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до реалізації плану Ради з питань ВПО буде сприяти підвищенню довірі до Ради, а стратегічний план відповідатиме вирішенню реальних потреб.</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розвитку громадської активності та в цілому ініціативності ВПО, залучення до співпраці активістів сприятиме подоланню патерналістських настроїв серед даної групи та її подальшої інтеграції в громаду.</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 час діяльності Ради з питань ВПО необхідно враховувати </w:t>
      </w:r>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-психологічний стан ВПО, який пов’язаний:</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jc w:val="both"/>
        <w:rPr>
          <w:rFonts w:ascii="Times New Roman" w:eastAsia="Times New Roman" w:hAnsi="Times New Roman" w:cs="Times New Roman"/>
          <w:sz w:val="24"/>
          <w:szCs w:val="24"/>
        </w:rPr>
      </w:pPr>
    </w:p>
    <w:p w:rsidR="00C0012A" w:rsidRDefault="00C0012A" w:rsidP="00C0012A">
      <w:pPr>
        <w:widowControl/>
        <w:numPr>
          <w:ilvl w:val="1"/>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пережитою окупацією, життям на територіях, де проходили активні бойові дії,</w:t>
      </w:r>
    </w:p>
    <w:p w:rsidR="00C0012A" w:rsidRDefault="00C0012A" w:rsidP="00C0012A">
      <w:pPr>
        <w:widowControl/>
        <w:numPr>
          <w:ilvl w:val="1"/>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втратою близьких, майна, звичного кола спілкування,</w:t>
      </w:r>
    </w:p>
    <w:p w:rsidR="00C0012A" w:rsidRDefault="00C0012A" w:rsidP="00C0012A">
      <w:pPr>
        <w:widowControl/>
        <w:numPr>
          <w:ilvl w:val="1"/>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переселенням, необхідністю адаптуватися в нових місцевих умовах. </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Усе це є </w:t>
      </w:r>
      <w:proofErr w:type="spellStart"/>
      <w:r>
        <w:rPr>
          <w:rFonts w:ascii="Times New Roman" w:eastAsia="Times New Roman" w:hAnsi="Times New Roman" w:cs="Times New Roman"/>
          <w:sz w:val="24"/>
          <w:szCs w:val="24"/>
        </w:rPr>
        <w:t>травмуючим</w:t>
      </w:r>
      <w:proofErr w:type="spellEnd"/>
      <w:r>
        <w:rPr>
          <w:rFonts w:ascii="Times New Roman" w:eastAsia="Times New Roman" w:hAnsi="Times New Roman" w:cs="Times New Roman"/>
          <w:sz w:val="24"/>
          <w:szCs w:val="24"/>
        </w:rPr>
        <w:t xml:space="preserve"> досвідом, який може викликати дезорієнтацію, безініціативність і навіть різні залежності. Соціально-психологічна підтримка є дуже важливою та допоможе відновити власний ресурс і стати ресурсом громади.</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Вирішення складних питань, що стосуються працевлаштування та забезпечення житлом ВПО, повинно бути прозорим, логічним і мати стабільне інформаційне супроводження. Це стосується і діяльності Ради з </w:t>
      </w:r>
      <w:r>
        <w:rPr>
          <w:rFonts w:ascii="Times New Roman" w:eastAsia="Times New Roman" w:hAnsi="Times New Roman" w:cs="Times New Roman"/>
          <w:sz w:val="24"/>
          <w:szCs w:val="24"/>
        </w:rPr>
        <w:lastRenderedPageBreak/>
        <w:t>питань ВПО.</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широкого кола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допоможе Раді делегувати їм частину своїх функцій, але не слід спрощувати саму проблему, яка потребує комплексного підходу.</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Стратегічний план є основою для подальших дій Ради і може бути відкоригований з урахуванням змін, які відбуваються в громаді та державі.</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Операційний план створений на підставі та у відповідності до Стратегічного плану.</w:t>
      </w:r>
    </w:p>
    <w:p w:rsidR="00CC3DE0" w:rsidRDefault="00CC3DE0">
      <w:bookmarkStart w:id="0" w:name="_GoBack"/>
      <w:bookmarkEnd w:id="0"/>
    </w:p>
    <w:sectPr w:rsidR="00CC3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A99"/>
    <w:multiLevelType w:val="multilevel"/>
    <w:tmpl w:val="E3FA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5124D"/>
    <w:multiLevelType w:val="multilevel"/>
    <w:tmpl w:val="A94C3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C31FA"/>
    <w:multiLevelType w:val="multilevel"/>
    <w:tmpl w:val="25A82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576A5"/>
    <w:multiLevelType w:val="multilevel"/>
    <w:tmpl w:val="E31A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325041"/>
    <w:multiLevelType w:val="multilevel"/>
    <w:tmpl w:val="22B02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FC3F58"/>
    <w:multiLevelType w:val="multilevel"/>
    <w:tmpl w:val="8528C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3D44D2D"/>
    <w:multiLevelType w:val="multilevel"/>
    <w:tmpl w:val="F37EB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52612C2"/>
    <w:multiLevelType w:val="multilevel"/>
    <w:tmpl w:val="7B10B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1F2A3C"/>
    <w:multiLevelType w:val="multilevel"/>
    <w:tmpl w:val="D766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6128A9"/>
    <w:multiLevelType w:val="multilevel"/>
    <w:tmpl w:val="48902E94"/>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A63ADE"/>
    <w:multiLevelType w:val="multilevel"/>
    <w:tmpl w:val="147E6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0A2162D"/>
    <w:multiLevelType w:val="multilevel"/>
    <w:tmpl w:val="CE729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B6224F"/>
    <w:multiLevelType w:val="multilevel"/>
    <w:tmpl w:val="BE58B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991921"/>
    <w:multiLevelType w:val="multilevel"/>
    <w:tmpl w:val="573AD714"/>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2C2A1A"/>
    <w:multiLevelType w:val="multilevel"/>
    <w:tmpl w:val="CF687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5501DC"/>
    <w:multiLevelType w:val="multilevel"/>
    <w:tmpl w:val="EEA0F5CC"/>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D943A7"/>
    <w:multiLevelType w:val="multilevel"/>
    <w:tmpl w:val="441A2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C9491E"/>
    <w:multiLevelType w:val="multilevel"/>
    <w:tmpl w:val="7E62F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1F42A0"/>
    <w:multiLevelType w:val="multilevel"/>
    <w:tmpl w:val="775A4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FC17C2"/>
    <w:multiLevelType w:val="multilevel"/>
    <w:tmpl w:val="4FE6AD48"/>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8A10DA"/>
    <w:multiLevelType w:val="multilevel"/>
    <w:tmpl w:val="7D2680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95D3464"/>
    <w:multiLevelType w:val="multilevel"/>
    <w:tmpl w:val="4F84EABC"/>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2" w15:restartNumberingAfterBreak="0">
    <w:nsid w:val="4E304EC2"/>
    <w:multiLevelType w:val="multilevel"/>
    <w:tmpl w:val="4EAA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02212A"/>
    <w:multiLevelType w:val="multilevel"/>
    <w:tmpl w:val="FE86F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284583"/>
    <w:multiLevelType w:val="multilevel"/>
    <w:tmpl w:val="DB528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FD3D68"/>
    <w:multiLevelType w:val="multilevel"/>
    <w:tmpl w:val="1416CEC8"/>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2931DF"/>
    <w:multiLevelType w:val="multilevel"/>
    <w:tmpl w:val="FFC49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C7B20D3"/>
    <w:multiLevelType w:val="multilevel"/>
    <w:tmpl w:val="EE04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2F585F"/>
    <w:multiLevelType w:val="multilevel"/>
    <w:tmpl w:val="0EF8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CF44C6"/>
    <w:multiLevelType w:val="multilevel"/>
    <w:tmpl w:val="4D30A642"/>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902D90"/>
    <w:multiLevelType w:val="multilevel"/>
    <w:tmpl w:val="67EE8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651907"/>
    <w:multiLevelType w:val="multilevel"/>
    <w:tmpl w:val="9934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2B5255"/>
    <w:multiLevelType w:val="multilevel"/>
    <w:tmpl w:val="B474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F42183"/>
    <w:multiLevelType w:val="multilevel"/>
    <w:tmpl w:val="A128E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807BA6"/>
    <w:multiLevelType w:val="multilevel"/>
    <w:tmpl w:val="C136CB92"/>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5D6205"/>
    <w:multiLevelType w:val="multilevel"/>
    <w:tmpl w:val="4C84C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2158D8"/>
    <w:multiLevelType w:val="multilevel"/>
    <w:tmpl w:val="2F321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9"/>
  </w:num>
  <w:num w:numId="3">
    <w:abstractNumId w:val="3"/>
  </w:num>
  <w:num w:numId="4">
    <w:abstractNumId w:val="17"/>
  </w:num>
  <w:num w:numId="5">
    <w:abstractNumId w:val="28"/>
  </w:num>
  <w:num w:numId="6">
    <w:abstractNumId w:val="19"/>
  </w:num>
  <w:num w:numId="7">
    <w:abstractNumId w:val="25"/>
  </w:num>
  <w:num w:numId="8">
    <w:abstractNumId w:val="15"/>
  </w:num>
  <w:num w:numId="9">
    <w:abstractNumId w:val="6"/>
  </w:num>
  <w:num w:numId="10">
    <w:abstractNumId w:val="5"/>
  </w:num>
  <w:num w:numId="11">
    <w:abstractNumId w:val="10"/>
  </w:num>
  <w:num w:numId="12">
    <w:abstractNumId w:val="26"/>
  </w:num>
  <w:num w:numId="13">
    <w:abstractNumId w:val="20"/>
  </w:num>
  <w:num w:numId="14">
    <w:abstractNumId w:val="11"/>
  </w:num>
  <w:num w:numId="15">
    <w:abstractNumId w:val="22"/>
  </w:num>
  <w:num w:numId="16">
    <w:abstractNumId w:val="7"/>
  </w:num>
  <w:num w:numId="17">
    <w:abstractNumId w:val="8"/>
  </w:num>
  <w:num w:numId="18">
    <w:abstractNumId w:val="18"/>
  </w:num>
  <w:num w:numId="19">
    <w:abstractNumId w:val="32"/>
  </w:num>
  <w:num w:numId="20">
    <w:abstractNumId w:val="14"/>
  </w:num>
  <w:num w:numId="21">
    <w:abstractNumId w:val="13"/>
  </w:num>
  <w:num w:numId="22">
    <w:abstractNumId w:val="12"/>
  </w:num>
  <w:num w:numId="23">
    <w:abstractNumId w:val="0"/>
  </w:num>
  <w:num w:numId="24">
    <w:abstractNumId w:val="31"/>
  </w:num>
  <w:num w:numId="25">
    <w:abstractNumId w:val="33"/>
  </w:num>
  <w:num w:numId="26">
    <w:abstractNumId w:val="24"/>
  </w:num>
  <w:num w:numId="27">
    <w:abstractNumId w:val="1"/>
  </w:num>
  <w:num w:numId="28">
    <w:abstractNumId w:val="16"/>
  </w:num>
  <w:num w:numId="29">
    <w:abstractNumId w:val="23"/>
  </w:num>
  <w:num w:numId="30">
    <w:abstractNumId w:val="35"/>
  </w:num>
  <w:num w:numId="31">
    <w:abstractNumId w:val="2"/>
  </w:num>
  <w:num w:numId="32">
    <w:abstractNumId w:val="4"/>
  </w:num>
  <w:num w:numId="33">
    <w:abstractNumId w:val="36"/>
  </w:num>
  <w:num w:numId="34">
    <w:abstractNumId w:val="27"/>
  </w:num>
  <w:num w:numId="35">
    <w:abstractNumId w:val="30"/>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15"/>
    <w:rsid w:val="00323615"/>
    <w:rsid w:val="00985750"/>
    <w:rsid w:val="00C0012A"/>
    <w:rsid w:val="00CC3DE0"/>
    <w:rsid w:val="00F6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DB8C-AA5B-4788-BA8A-1DD310B8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15"/>
    <w:pPr>
      <w:widowControl w:val="0"/>
      <w:spacing w:after="0" w:line="240" w:lineRule="auto"/>
    </w:pPr>
    <w:rPr>
      <w:rFonts w:ascii="Roboto" w:eastAsia="Roboto" w:hAnsi="Roboto" w:cs="Roboto"/>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CA"/>
    <w:rPr>
      <w:rFonts w:ascii="Segoe UI" w:hAnsi="Segoe UI" w:cs="Segoe UI"/>
      <w:sz w:val="18"/>
      <w:szCs w:val="18"/>
    </w:rPr>
  </w:style>
  <w:style w:type="character" w:customStyle="1" w:styleId="a4">
    <w:name w:val="Текст выноски Знак"/>
    <w:basedOn w:val="a0"/>
    <w:link w:val="a3"/>
    <w:uiPriority w:val="99"/>
    <w:semiHidden/>
    <w:rsid w:val="00F670CA"/>
    <w:rPr>
      <w:rFonts w:ascii="Segoe UI" w:eastAsia="Roboto"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Tanya</cp:lastModifiedBy>
  <cp:revision>5</cp:revision>
  <cp:lastPrinted>2024-07-12T08:39:00Z</cp:lastPrinted>
  <dcterms:created xsi:type="dcterms:W3CDTF">2024-07-03T06:56:00Z</dcterms:created>
  <dcterms:modified xsi:type="dcterms:W3CDTF">2024-07-12T08:39:00Z</dcterms:modified>
</cp:coreProperties>
</file>